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385B0" w14:textId="6191DF29" w:rsidR="00D754A8" w:rsidRDefault="00E363B6" w:rsidP="00D754A8">
      <w:pPr>
        <w:jc w:val="center"/>
        <w:rPr>
          <w:sz w:val="28"/>
          <w:szCs w:val="28"/>
        </w:rPr>
      </w:pPr>
      <w:r>
        <w:rPr>
          <w:rFonts w:hint="eastAsia"/>
          <w:sz w:val="28"/>
          <w:szCs w:val="28"/>
        </w:rPr>
        <w:t>福井県内の老朽原発をめぐる裁判の現状</w:t>
      </w:r>
    </w:p>
    <w:p w14:paraId="576C792B" w14:textId="16D6FA3E" w:rsidR="00D754A8" w:rsidRDefault="00D754A8" w:rsidP="00D754A8">
      <w:pPr>
        <w:rPr>
          <w:sz w:val="24"/>
          <w:szCs w:val="24"/>
          <w:lang w:eastAsia="zh-CN"/>
        </w:rPr>
      </w:pPr>
      <w:r>
        <w:rPr>
          <w:rFonts w:hint="eastAsia"/>
          <w:sz w:val="24"/>
          <w:szCs w:val="24"/>
        </w:rPr>
        <w:t xml:space="preserve">　　　　　　　　</w:t>
      </w:r>
      <w:r w:rsidR="000D51ED">
        <w:rPr>
          <w:rFonts w:hint="eastAsia"/>
          <w:sz w:val="24"/>
          <w:szCs w:val="24"/>
        </w:rPr>
        <w:t xml:space="preserve">  </w:t>
      </w:r>
      <w:r w:rsidR="00FB3CF1">
        <w:rPr>
          <w:rFonts w:hint="eastAsia"/>
          <w:sz w:val="24"/>
          <w:szCs w:val="24"/>
        </w:rPr>
        <w:t xml:space="preserve">　</w:t>
      </w:r>
      <w:r w:rsidR="000D51ED">
        <w:rPr>
          <w:rFonts w:hint="eastAsia"/>
          <w:sz w:val="24"/>
          <w:szCs w:val="24"/>
        </w:rPr>
        <w:t xml:space="preserve"> </w:t>
      </w:r>
      <w:r w:rsidR="00E363B6">
        <w:rPr>
          <w:rFonts w:hint="eastAsia"/>
          <w:sz w:val="24"/>
          <w:szCs w:val="24"/>
        </w:rPr>
        <w:t xml:space="preserve">　　　　　　　</w:t>
      </w:r>
      <w:r w:rsidR="00E363B6">
        <w:rPr>
          <w:rFonts w:hint="eastAsia"/>
          <w:sz w:val="24"/>
          <w:szCs w:val="24"/>
          <w:lang w:eastAsia="zh-CN"/>
        </w:rPr>
        <w:t>笠原一浩</w:t>
      </w:r>
      <w:r>
        <w:rPr>
          <w:rFonts w:hint="eastAsia"/>
          <w:sz w:val="24"/>
          <w:szCs w:val="24"/>
          <w:lang w:eastAsia="zh-CN"/>
        </w:rPr>
        <w:t>（</w:t>
      </w:r>
      <w:r w:rsidR="00E363B6">
        <w:rPr>
          <w:rFonts w:hint="eastAsia"/>
          <w:sz w:val="24"/>
          <w:szCs w:val="24"/>
          <w:lang w:eastAsia="zh-CN"/>
        </w:rPr>
        <w:t>弁護士、</w:t>
      </w:r>
      <w:r w:rsidR="00FB3CF1">
        <w:rPr>
          <w:rFonts w:hint="eastAsia"/>
          <w:sz w:val="24"/>
          <w:szCs w:val="24"/>
          <w:lang w:eastAsia="zh-CN"/>
        </w:rPr>
        <w:t>日本科学者会議福井支部</w:t>
      </w:r>
      <w:r>
        <w:rPr>
          <w:rFonts w:hint="eastAsia"/>
          <w:sz w:val="24"/>
          <w:szCs w:val="24"/>
          <w:lang w:eastAsia="zh-CN"/>
        </w:rPr>
        <w:t>）</w:t>
      </w:r>
    </w:p>
    <w:p w14:paraId="5171CE43" w14:textId="77777777" w:rsidR="0090072C" w:rsidRPr="0090072C" w:rsidRDefault="0090072C" w:rsidP="00DF5A42">
      <w:pPr>
        <w:rPr>
          <w:sz w:val="18"/>
          <w:szCs w:val="18"/>
          <w:lang w:eastAsia="zh-CN"/>
        </w:rPr>
      </w:pPr>
      <w:bookmarkStart w:id="0" w:name="_Hlk83199880"/>
    </w:p>
    <w:p w14:paraId="0BA41043" w14:textId="1D30EE81" w:rsidR="00DF5A42" w:rsidRDefault="00E363B6" w:rsidP="00E363B6">
      <w:pPr>
        <w:ind w:leftChars="206" w:left="425" w:rightChars="205" w:right="423" w:firstLineChars="100" w:firstLine="196"/>
        <w:rPr>
          <w:sz w:val="20"/>
          <w:szCs w:val="20"/>
        </w:rPr>
      </w:pPr>
      <w:r>
        <w:rPr>
          <w:rFonts w:hint="eastAsia"/>
          <w:sz w:val="20"/>
          <w:szCs w:val="20"/>
        </w:rPr>
        <w:t>高浜原発</w:t>
      </w:r>
      <w:r>
        <w:rPr>
          <w:rFonts w:hint="eastAsia"/>
          <w:sz w:val="20"/>
          <w:szCs w:val="20"/>
        </w:rPr>
        <w:t>1</w:t>
      </w:r>
      <w:r>
        <w:rPr>
          <w:rFonts w:hint="eastAsia"/>
          <w:sz w:val="20"/>
          <w:szCs w:val="20"/>
        </w:rPr>
        <w:t>，</w:t>
      </w:r>
      <w:r>
        <w:rPr>
          <w:rFonts w:hint="eastAsia"/>
          <w:sz w:val="20"/>
          <w:szCs w:val="20"/>
        </w:rPr>
        <w:t>2</w:t>
      </w:r>
      <w:r>
        <w:rPr>
          <w:rFonts w:hint="eastAsia"/>
          <w:sz w:val="20"/>
          <w:szCs w:val="20"/>
        </w:rPr>
        <w:t>号機は運転開始から優に</w:t>
      </w:r>
      <w:r>
        <w:rPr>
          <w:rFonts w:hint="eastAsia"/>
          <w:sz w:val="20"/>
          <w:szCs w:val="20"/>
        </w:rPr>
        <w:t>40</w:t>
      </w:r>
      <w:r>
        <w:rPr>
          <w:rFonts w:hint="eastAsia"/>
          <w:sz w:val="20"/>
          <w:szCs w:val="20"/>
        </w:rPr>
        <w:t>年を超え、</w:t>
      </w:r>
      <w:r>
        <w:rPr>
          <w:rFonts w:hint="eastAsia"/>
          <w:sz w:val="20"/>
          <w:szCs w:val="20"/>
        </w:rPr>
        <w:t>2024</w:t>
      </w:r>
      <w:r>
        <w:rPr>
          <w:rFonts w:hint="eastAsia"/>
          <w:sz w:val="20"/>
          <w:szCs w:val="20"/>
        </w:rPr>
        <w:t>年から</w:t>
      </w:r>
      <w:r>
        <w:rPr>
          <w:rFonts w:hint="eastAsia"/>
          <w:sz w:val="20"/>
          <w:szCs w:val="20"/>
        </w:rPr>
        <w:t>2025</w:t>
      </w:r>
      <w:r>
        <w:rPr>
          <w:rFonts w:hint="eastAsia"/>
          <w:sz w:val="20"/>
          <w:szCs w:val="20"/>
        </w:rPr>
        <w:t>年にかけて</w:t>
      </w:r>
      <w:r>
        <w:rPr>
          <w:rFonts w:hint="eastAsia"/>
          <w:sz w:val="20"/>
          <w:szCs w:val="20"/>
        </w:rPr>
        <w:t>50</w:t>
      </w:r>
      <w:r>
        <w:rPr>
          <w:rFonts w:hint="eastAsia"/>
          <w:sz w:val="20"/>
          <w:szCs w:val="20"/>
        </w:rPr>
        <w:t>年を迎える。</w:t>
      </w:r>
      <w:r w:rsidR="00EF6C99">
        <w:rPr>
          <w:rFonts w:hint="eastAsia"/>
          <w:sz w:val="20"/>
          <w:szCs w:val="20"/>
        </w:rPr>
        <w:t>美浜原発</w:t>
      </w:r>
      <w:r w:rsidR="00EF6C99">
        <w:rPr>
          <w:rFonts w:hint="eastAsia"/>
          <w:sz w:val="20"/>
          <w:szCs w:val="20"/>
        </w:rPr>
        <w:t>3</w:t>
      </w:r>
      <w:r w:rsidR="00EF6C99">
        <w:rPr>
          <w:rFonts w:hint="eastAsia"/>
          <w:sz w:val="20"/>
          <w:szCs w:val="20"/>
        </w:rPr>
        <w:t>号機も、当職と同じ</w:t>
      </w:r>
      <w:r w:rsidR="00EF6C99">
        <w:rPr>
          <w:rFonts w:hint="eastAsia"/>
          <w:sz w:val="20"/>
          <w:szCs w:val="20"/>
        </w:rPr>
        <w:t>47</w:t>
      </w:r>
      <w:r w:rsidR="00EF6C99">
        <w:rPr>
          <w:rFonts w:hint="eastAsia"/>
          <w:sz w:val="20"/>
          <w:szCs w:val="20"/>
        </w:rPr>
        <w:t>歳の発電所である。したがって、</w:t>
      </w:r>
      <w:r>
        <w:rPr>
          <w:rFonts w:hint="eastAsia"/>
          <w:sz w:val="20"/>
          <w:szCs w:val="20"/>
        </w:rPr>
        <w:t>既に廃炉が決定した敦賀原発</w:t>
      </w:r>
      <w:r>
        <w:rPr>
          <w:rFonts w:hint="eastAsia"/>
          <w:sz w:val="20"/>
          <w:szCs w:val="20"/>
        </w:rPr>
        <w:t>1</w:t>
      </w:r>
      <w:r>
        <w:rPr>
          <w:rFonts w:hint="eastAsia"/>
          <w:sz w:val="20"/>
          <w:szCs w:val="20"/>
        </w:rPr>
        <w:t>号機、美浜原発</w:t>
      </w:r>
      <w:r>
        <w:rPr>
          <w:rFonts w:hint="eastAsia"/>
          <w:sz w:val="20"/>
          <w:szCs w:val="20"/>
        </w:rPr>
        <w:t>1</w:t>
      </w:r>
      <w:r>
        <w:rPr>
          <w:rFonts w:hint="eastAsia"/>
          <w:sz w:val="20"/>
          <w:szCs w:val="20"/>
        </w:rPr>
        <w:t>，</w:t>
      </w:r>
      <w:r>
        <w:rPr>
          <w:rFonts w:hint="eastAsia"/>
          <w:sz w:val="20"/>
          <w:szCs w:val="20"/>
        </w:rPr>
        <w:t>2</w:t>
      </w:r>
      <w:r>
        <w:rPr>
          <w:rFonts w:hint="eastAsia"/>
          <w:sz w:val="20"/>
          <w:szCs w:val="20"/>
        </w:rPr>
        <w:t>号機や大飯原発</w:t>
      </w:r>
      <w:r>
        <w:rPr>
          <w:rFonts w:hint="eastAsia"/>
          <w:sz w:val="20"/>
          <w:szCs w:val="20"/>
        </w:rPr>
        <w:t>1</w:t>
      </w:r>
      <w:r>
        <w:rPr>
          <w:rFonts w:hint="eastAsia"/>
          <w:sz w:val="20"/>
          <w:szCs w:val="20"/>
        </w:rPr>
        <w:t>，</w:t>
      </w:r>
      <w:r>
        <w:rPr>
          <w:rFonts w:hint="eastAsia"/>
          <w:sz w:val="20"/>
          <w:szCs w:val="20"/>
        </w:rPr>
        <w:t>2</w:t>
      </w:r>
      <w:r>
        <w:rPr>
          <w:rFonts w:hint="eastAsia"/>
          <w:sz w:val="20"/>
          <w:szCs w:val="20"/>
        </w:rPr>
        <w:t>号機を除くと、</w:t>
      </w:r>
      <w:r w:rsidR="00EF6C99">
        <w:rPr>
          <w:rFonts w:hint="eastAsia"/>
          <w:sz w:val="20"/>
          <w:szCs w:val="20"/>
        </w:rPr>
        <w:t>福井県内で</w:t>
      </w:r>
      <w:r>
        <w:rPr>
          <w:rFonts w:hint="eastAsia"/>
          <w:sz w:val="20"/>
          <w:szCs w:val="20"/>
        </w:rPr>
        <w:t>は</w:t>
      </w:r>
      <w:r w:rsidR="00EF6C99">
        <w:rPr>
          <w:rFonts w:hint="eastAsia"/>
          <w:sz w:val="20"/>
          <w:szCs w:val="20"/>
        </w:rPr>
        <w:t>３</w:t>
      </w:r>
      <w:r>
        <w:rPr>
          <w:rFonts w:hint="eastAsia"/>
          <w:sz w:val="20"/>
          <w:szCs w:val="20"/>
        </w:rPr>
        <w:t>機の老朽原発が現在も稼働していることになる。高浜原発</w:t>
      </w:r>
      <w:r>
        <w:rPr>
          <w:rFonts w:hint="eastAsia"/>
          <w:sz w:val="20"/>
          <w:szCs w:val="20"/>
        </w:rPr>
        <w:t>3</w:t>
      </w:r>
      <w:r>
        <w:rPr>
          <w:rFonts w:hint="eastAsia"/>
          <w:sz w:val="20"/>
          <w:szCs w:val="20"/>
        </w:rPr>
        <w:t>，</w:t>
      </w:r>
      <w:r>
        <w:rPr>
          <w:rFonts w:hint="eastAsia"/>
          <w:sz w:val="20"/>
          <w:szCs w:val="20"/>
        </w:rPr>
        <w:t>4</w:t>
      </w:r>
      <w:r>
        <w:rPr>
          <w:rFonts w:hint="eastAsia"/>
          <w:sz w:val="20"/>
          <w:szCs w:val="20"/>
        </w:rPr>
        <w:t>号機も</w:t>
      </w:r>
      <w:r>
        <w:rPr>
          <w:rFonts w:hint="eastAsia"/>
          <w:sz w:val="20"/>
          <w:szCs w:val="20"/>
        </w:rPr>
        <w:t>2025</w:t>
      </w:r>
      <w:r>
        <w:rPr>
          <w:rFonts w:hint="eastAsia"/>
          <w:sz w:val="20"/>
          <w:szCs w:val="20"/>
        </w:rPr>
        <w:t>年には運転開始から</w:t>
      </w:r>
      <w:r>
        <w:rPr>
          <w:rFonts w:hint="eastAsia"/>
          <w:sz w:val="20"/>
          <w:szCs w:val="20"/>
        </w:rPr>
        <w:t>40</w:t>
      </w:r>
      <w:r>
        <w:rPr>
          <w:rFonts w:hint="eastAsia"/>
          <w:sz w:val="20"/>
          <w:szCs w:val="20"/>
        </w:rPr>
        <w:t>年に達する。</w:t>
      </w:r>
    </w:p>
    <w:p w14:paraId="6EBAD219" w14:textId="6CB0501C" w:rsidR="00E363B6" w:rsidRPr="006A135E" w:rsidRDefault="00E363B6" w:rsidP="00E363B6">
      <w:pPr>
        <w:ind w:leftChars="206" w:left="425" w:rightChars="205" w:right="423" w:firstLineChars="100" w:firstLine="196"/>
        <w:rPr>
          <w:sz w:val="20"/>
          <w:szCs w:val="20"/>
        </w:rPr>
      </w:pPr>
      <w:r>
        <w:rPr>
          <w:sz w:val="20"/>
          <w:szCs w:val="20"/>
        </w:rPr>
        <w:t>現在、これらの老朽原発</w:t>
      </w:r>
      <w:r w:rsidR="00EF6C99">
        <w:rPr>
          <w:sz w:val="20"/>
          <w:szCs w:val="20"/>
        </w:rPr>
        <w:t>の運転差止を関西電力に求める、または原子力規制委員会による設置許可処分の無効確認を求める裁判が多数継続している。本稿では、このうち当職が代理人を務めている大阪高裁、福井地裁に係属中の美浜原発３号機運転差止仮処分、及び福井地裁に係属中の高浜原発１～４号機運転差止仮処分について述べる。</w:t>
      </w:r>
    </w:p>
    <w:bookmarkEnd w:id="0"/>
    <w:p w14:paraId="6821F350" w14:textId="38622BDB" w:rsidR="00DF5A42" w:rsidRDefault="00B97945"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CC6A2A">
          <w:headerReference w:type="even" r:id="rId8"/>
          <w:headerReference w:type="default" r:id="rId9"/>
          <w:footerReference w:type="default" r:id="rId10"/>
          <w:pgSz w:w="11906" w:h="16838" w:code="9"/>
          <w:pgMar w:top="1701" w:right="1418" w:bottom="1418" w:left="1418" w:header="851" w:footer="992" w:gutter="0"/>
          <w:pgNumType w:fmt="numberInDash" w:start="1"/>
          <w:cols w:space="425"/>
          <w:docGrid w:type="linesAndChars" w:linePitch="361" w:charSpace="-792"/>
        </w:sectPr>
      </w:pPr>
    </w:p>
    <w:p w14:paraId="1CE4FE0A" w14:textId="4A77EC0C" w:rsidR="00EF6C99" w:rsidRPr="00EF6C99" w:rsidRDefault="00EF6C99" w:rsidP="00BA3FBA">
      <w:pPr>
        <w:rPr>
          <w:rFonts w:asciiTheme="majorEastAsia" w:eastAsiaTheme="majorEastAsia" w:hAnsiTheme="majorEastAsia"/>
          <w:szCs w:val="21"/>
        </w:rPr>
      </w:pPr>
      <w:r>
        <w:rPr>
          <w:rFonts w:asciiTheme="majorEastAsia" w:eastAsiaTheme="majorEastAsia" w:hAnsiTheme="majorEastAsia"/>
          <w:szCs w:val="21"/>
        </w:rPr>
        <w:t>１．はじめに－2014年の歴史的な大飯原発運転差止判決</w:t>
      </w:r>
    </w:p>
    <w:p w14:paraId="07B52A5C" w14:textId="5A308873" w:rsidR="00BA3FBA" w:rsidRPr="00BA3FBA" w:rsidRDefault="00BA3FBA" w:rsidP="00BA3FBA">
      <w:pPr>
        <w:ind w:firstLineChars="100" w:firstLine="206"/>
        <w:rPr>
          <w:rFonts w:asciiTheme="minorEastAsia" w:hAnsiTheme="minorEastAsia"/>
          <w:szCs w:val="21"/>
        </w:rPr>
      </w:pPr>
      <w:r w:rsidRPr="00BA3FBA">
        <w:rPr>
          <w:rFonts w:asciiTheme="minorEastAsia" w:hAnsiTheme="minorEastAsia" w:hint="eastAsia"/>
          <w:szCs w:val="21"/>
        </w:rPr>
        <w:t>福井地方裁判所は、</w:t>
      </w:r>
      <w:r>
        <w:rPr>
          <w:rFonts w:asciiTheme="minorEastAsia" w:hAnsiTheme="minorEastAsia" w:hint="eastAsia"/>
          <w:szCs w:val="21"/>
        </w:rPr>
        <w:t>2014年5月21日、大飯原発3，4号機の運転差し止めを認める歴史的判決を言い渡し</w:t>
      </w:r>
      <w:r w:rsidRPr="00BA3FBA">
        <w:rPr>
          <w:rFonts w:asciiTheme="minorEastAsia" w:hAnsiTheme="minorEastAsia" w:hint="eastAsia"/>
          <w:szCs w:val="21"/>
        </w:rPr>
        <w:t>た</w:t>
      </w:r>
      <w:r w:rsidR="00F24B65">
        <w:rPr>
          <w:rFonts w:asciiTheme="minorEastAsia" w:hAnsiTheme="minorEastAsia" w:hint="eastAsia"/>
          <w:szCs w:val="21"/>
        </w:rPr>
        <w:t>(以下「樋口判決」)</w:t>
      </w:r>
      <w:r w:rsidRPr="00BA3FBA">
        <w:rPr>
          <w:rFonts w:asciiTheme="minorEastAsia" w:hAnsiTheme="minorEastAsia" w:hint="eastAsia"/>
          <w:szCs w:val="21"/>
        </w:rPr>
        <w:t>。判決が言い渡された瞬間、弁護団や原告団事務局のメンバーが、それ</w:t>
      </w:r>
      <w:r>
        <w:rPr>
          <w:rFonts w:asciiTheme="minorEastAsia" w:hAnsiTheme="minorEastAsia" w:hint="eastAsia"/>
          <w:szCs w:val="21"/>
        </w:rPr>
        <w:t>ぞれ「差し止め認める」「司法は生きていた」という垂れ幕を掲げ</w:t>
      </w:r>
      <w:r w:rsidRPr="00BA3FBA">
        <w:rPr>
          <w:rFonts w:asciiTheme="minorEastAsia" w:hAnsiTheme="minorEastAsia" w:hint="eastAsia"/>
          <w:szCs w:val="21"/>
        </w:rPr>
        <w:t>た</w:t>
      </w:r>
      <w:r>
        <w:rPr>
          <w:rFonts w:asciiTheme="minorEastAsia" w:hAnsiTheme="minorEastAsia" w:hint="eastAsia"/>
          <w:szCs w:val="21"/>
        </w:rPr>
        <w:t>が、特に後者について、深い共感を寄せた市民は多かったことであろう</w:t>
      </w:r>
      <w:r w:rsidRPr="00BA3FBA">
        <w:rPr>
          <w:rFonts w:asciiTheme="minorEastAsia" w:hAnsiTheme="minorEastAsia" w:hint="eastAsia"/>
          <w:szCs w:val="21"/>
        </w:rPr>
        <w:t>。</w:t>
      </w:r>
    </w:p>
    <w:p w14:paraId="4C26CC02" w14:textId="43B26B3F" w:rsidR="00BA3FBA" w:rsidRPr="00BA3FBA" w:rsidRDefault="00F24B65" w:rsidP="00BA3FBA">
      <w:pPr>
        <w:ind w:firstLineChars="100" w:firstLine="206"/>
        <w:rPr>
          <w:rFonts w:asciiTheme="minorEastAsia" w:hAnsiTheme="minorEastAsia"/>
          <w:szCs w:val="21"/>
        </w:rPr>
      </w:pPr>
      <w:r>
        <w:rPr>
          <w:rFonts w:asciiTheme="minorEastAsia" w:hAnsiTheme="minorEastAsia" w:hint="eastAsia"/>
          <w:szCs w:val="21"/>
        </w:rPr>
        <w:t>樋口</w:t>
      </w:r>
      <w:r w:rsidR="00BA3FBA" w:rsidRPr="00BA3FBA">
        <w:rPr>
          <w:rFonts w:asciiTheme="minorEastAsia" w:hAnsiTheme="minorEastAsia" w:hint="eastAsia"/>
          <w:szCs w:val="21"/>
        </w:rPr>
        <w:t>判決は、仮処分決定を別と</w:t>
      </w:r>
      <w:r w:rsidR="00BA3FBA">
        <w:rPr>
          <w:rFonts w:asciiTheme="minorEastAsia" w:hAnsiTheme="minorEastAsia" w:hint="eastAsia"/>
          <w:szCs w:val="21"/>
        </w:rPr>
        <w:t>すると、福島第一原発事故後初めての、原発裁判における司法判断である</w:t>
      </w:r>
      <w:r w:rsidR="00BA3FBA" w:rsidRPr="00BA3FBA">
        <w:rPr>
          <w:rFonts w:asciiTheme="minorEastAsia" w:hAnsiTheme="minorEastAsia" w:hint="eastAsia"/>
          <w:szCs w:val="21"/>
        </w:rPr>
        <w:t>。福島第一原発事故の被害を踏まえ、行政庁の判断を追認してきた</w:t>
      </w:r>
      <w:r w:rsidR="00BA3FBA">
        <w:rPr>
          <w:rFonts w:asciiTheme="minorEastAsia" w:hAnsiTheme="minorEastAsia" w:hint="eastAsia"/>
          <w:szCs w:val="21"/>
        </w:rPr>
        <w:t>裁判所の姿勢に変化が生じることが、多くの市民から期待されていたが、この判決は、その期待に十二分に応えるものとなっ</w:t>
      </w:r>
      <w:r w:rsidR="00BA3FBA" w:rsidRPr="00BA3FBA">
        <w:rPr>
          <w:rFonts w:asciiTheme="minorEastAsia" w:hAnsiTheme="minorEastAsia" w:hint="eastAsia"/>
          <w:szCs w:val="21"/>
        </w:rPr>
        <w:t>た。</w:t>
      </w:r>
    </w:p>
    <w:p w14:paraId="08ECA054" w14:textId="0BCAD0C8" w:rsidR="00BA3FBA" w:rsidRPr="00BA3FBA" w:rsidRDefault="00BA3FBA" w:rsidP="00BA3FBA">
      <w:pPr>
        <w:rPr>
          <w:rFonts w:asciiTheme="minorEastAsia" w:hAnsiTheme="minorEastAsia"/>
          <w:szCs w:val="21"/>
        </w:rPr>
      </w:pPr>
      <w:r w:rsidRPr="00BA3FBA">
        <w:rPr>
          <w:rFonts w:asciiTheme="minorEastAsia" w:hAnsiTheme="minorEastAsia" w:hint="eastAsia"/>
          <w:szCs w:val="21"/>
        </w:rPr>
        <w:t xml:space="preserve">　要旨、全文とも、原告団ホームページhttp://adieunpp.com/download&amp;lnk/download.htmlにアップされてい</w:t>
      </w:r>
      <w:r>
        <w:rPr>
          <w:rFonts w:asciiTheme="minorEastAsia" w:hAnsiTheme="minorEastAsia" w:hint="eastAsia"/>
          <w:szCs w:val="21"/>
        </w:rPr>
        <w:t>る</w:t>
      </w:r>
      <w:r w:rsidRPr="00BA3FBA">
        <w:rPr>
          <w:rFonts w:asciiTheme="minorEastAsia" w:hAnsiTheme="minorEastAsia" w:hint="eastAsia"/>
          <w:szCs w:val="21"/>
        </w:rPr>
        <w:t>ので、</w:t>
      </w:r>
      <w:r>
        <w:rPr>
          <w:rFonts w:asciiTheme="minorEastAsia" w:hAnsiTheme="minorEastAsia" w:hint="eastAsia"/>
          <w:szCs w:val="21"/>
        </w:rPr>
        <w:t>諸兄諸姉におかれては改めてご一読されたい。</w:t>
      </w:r>
      <w:r w:rsidRPr="00BA3FBA">
        <w:rPr>
          <w:rFonts w:asciiTheme="minorEastAsia" w:hAnsiTheme="minorEastAsia" w:hint="eastAsia"/>
          <w:szCs w:val="21"/>
        </w:rPr>
        <w:t>特に、最初のページでは、人格権が憲法上最も高い価値を有すること</w:t>
      </w:r>
      <w:r>
        <w:rPr>
          <w:rFonts w:asciiTheme="minorEastAsia" w:hAnsiTheme="minorEastAsia" w:hint="eastAsia"/>
          <w:szCs w:val="21"/>
        </w:rPr>
        <w:t>（</w:t>
      </w:r>
      <w:r w:rsidRPr="00BA3FBA">
        <w:rPr>
          <w:rFonts w:asciiTheme="minorEastAsia" w:hAnsiTheme="minorEastAsia" w:hint="eastAsia"/>
        </w:rPr>
        <w:t>「ひとたび深刻な事故が起これば多</w:t>
      </w:r>
      <w:r w:rsidRPr="00BA3FBA">
        <w:rPr>
          <w:rFonts w:asciiTheme="minorEastAsia" w:hAnsiTheme="minorEastAsia" w:hint="eastAsia"/>
        </w:rPr>
        <w:t>くの人の生命，身体やその生活基盤に重大な被害を及ぼす事業に関わる組織には，その被害の大きさ，程度に応じた安全性と高度の信頼性が求められて然るべきである．このことは，当然の社会的要請であるとともに，生存を基礎とする人格権が公法，私法を問わず，すべての法分野において，最高の価値を持つとされている以上，本件訴訟においてもよって立つべき解釈上の指針である」</w:t>
      </w:r>
      <w:r>
        <w:rPr>
          <w:rFonts w:asciiTheme="minorEastAsia" w:hAnsiTheme="minorEastAsia" w:hint="eastAsia"/>
        </w:rPr>
        <w:t>）</w:t>
      </w:r>
      <w:r w:rsidRPr="00BA3FBA">
        <w:rPr>
          <w:rFonts w:asciiTheme="minorEastAsia" w:hAnsiTheme="minorEastAsia" w:hint="eastAsia"/>
          <w:szCs w:val="21"/>
        </w:rPr>
        <w:t>、最後のページでは、原発事故こそ本当の意味で国の富を失わせることや、ましてやCO2削減を口実に原発を推進することが言語道断であること</w:t>
      </w:r>
      <w:r>
        <w:rPr>
          <w:rFonts w:asciiTheme="minorEastAsia" w:hAnsiTheme="minorEastAsia" w:hint="eastAsia"/>
          <w:szCs w:val="21"/>
        </w:rPr>
        <w:t>（</w:t>
      </w:r>
      <w:r w:rsidR="00DC1277">
        <w:rPr>
          <w:rFonts w:asciiTheme="minorEastAsia" w:hAnsiTheme="minorEastAsia" w:hint="eastAsia"/>
          <w:szCs w:val="21"/>
        </w:rPr>
        <w:t>「</w:t>
      </w:r>
      <w:r w:rsidRPr="00BA3FBA">
        <w:rPr>
          <w:rFonts w:asciiTheme="minorEastAsia" w:hAnsiTheme="minorEastAsia" w:hint="eastAsia"/>
          <w:szCs w:val="21"/>
        </w:rPr>
        <w:t>このコストの問題に関連して国富の流出や喪失の議論があるが、たとえ本件原発の運転停止によって多額の貿易赤字が出るとしても、これを国富の流出や喪失というべきではなく、豊かな国土とそこに国民が根を下ろして生活していることが国富であり、これを取り戻すことができなくなることが国富の喪失であると当裁判所は考えている。</w:t>
      </w:r>
      <w:r w:rsidR="00DC1277">
        <w:rPr>
          <w:rFonts w:asciiTheme="minorEastAsia" w:hAnsiTheme="minorEastAsia" w:hint="eastAsia"/>
          <w:szCs w:val="21"/>
        </w:rPr>
        <w:t>」</w:t>
      </w:r>
      <w:bookmarkStart w:id="1" w:name="_GoBack"/>
      <w:bookmarkEnd w:id="1"/>
      <w:r>
        <w:rPr>
          <w:rFonts w:asciiTheme="minorEastAsia" w:hAnsiTheme="minorEastAsia" w:hint="eastAsia"/>
          <w:szCs w:val="21"/>
        </w:rPr>
        <w:t>）</w:t>
      </w:r>
      <w:r w:rsidRPr="00BA3FBA">
        <w:rPr>
          <w:rFonts w:asciiTheme="minorEastAsia" w:hAnsiTheme="minorEastAsia" w:hint="eastAsia"/>
          <w:szCs w:val="21"/>
        </w:rPr>
        <w:t>が、大変美しい日本語で書かれて</w:t>
      </w:r>
      <w:r>
        <w:rPr>
          <w:rFonts w:asciiTheme="minorEastAsia" w:hAnsiTheme="minorEastAsia" w:hint="eastAsia"/>
          <w:szCs w:val="21"/>
        </w:rPr>
        <w:t>いる</w:t>
      </w:r>
      <w:r w:rsidRPr="00BA3FBA">
        <w:rPr>
          <w:rFonts w:asciiTheme="minorEastAsia" w:hAnsiTheme="minorEastAsia" w:hint="eastAsia"/>
          <w:szCs w:val="21"/>
        </w:rPr>
        <w:t>。</w:t>
      </w:r>
    </w:p>
    <w:p w14:paraId="2FDC291B" w14:textId="77777777" w:rsidR="00F24B65" w:rsidRDefault="00BA3FBA" w:rsidP="00BA3FBA">
      <w:pPr>
        <w:rPr>
          <w:rFonts w:asciiTheme="minorEastAsia" w:hAnsiTheme="minorEastAsia"/>
          <w:szCs w:val="21"/>
        </w:rPr>
      </w:pPr>
      <w:r>
        <w:rPr>
          <w:rFonts w:asciiTheme="minorEastAsia" w:hAnsiTheme="minorEastAsia" w:hint="eastAsia"/>
          <w:szCs w:val="21"/>
        </w:rPr>
        <w:t xml:space="preserve">　訴状を作成する際、弁護団事務局長を務めた当職は最初</w:t>
      </w:r>
      <w:r w:rsidRPr="00BA3FBA">
        <w:rPr>
          <w:rFonts w:asciiTheme="minorEastAsia" w:hAnsiTheme="minorEastAsia" w:hint="eastAsia"/>
          <w:szCs w:val="21"/>
        </w:rPr>
        <w:t>（本提訴の歴史的意義、原告らがどのような思いで提訴に至ったか、請求の根拠と</w:t>
      </w:r>
      <w:r w:rsidRPr="00BA3FBA">
        <w:rPr>
          <w:rFonts w:asciiTheme="minorEastAsia" w:hAnsiTheme="minorEastAsia" w:hint="eastAsia"/>
          <w:szCs w:val="21"/>
        </w:rPr>
        <w:lastRenderedPageBreak/>
        <w:t>しての人格権）と最後</w:t>
      </w:r>
      <w:r>
        <w:rPr>
          <w:rFonts w:asciiTheme="minorEastAsia" w:hAnsiTheme="minorEastAsia" w:hint="eastAsia"/>
          <w:szCs w:val="21"/>
        </w:rPr>
        <w:t>（原発がコスト削減にもＣＯ２削減にも役立たないこと）を担当し</w:t>
      </w:r>
      <w:r w:rsidRPr="00BA3FBA">
        <w:rPr>
          <w:rFonts w:asciiTheme="minorEastAsia" w:hAnsiTheme="minorEastAsia" w:hint="eastAsia"/>
          <w:szCs w:val="21"/>
        </w:rPr>
        <w:t>た</w:t>
      </w:r>
      <w:r>
        <w:rPr>
          <w:rFonts w:asciiTheme="minorEastAsia" w:hAnsiTheme="minorEastAsia" w:hint="eastAsia"/>
          <w:szCs w:val="21"/>
        </w:rPr>
        <w:t>ので、判決の上記部分とほぼ同じ内容のことを書いたことになるが、おそらく判決の方がより美しい文章になっていると思われる</w:t>
      </w:r>
      <w:r w:rsidRPr="00BA3FBA">
        <w:rPr>
          <w:rFonts w:asciiTheme="minorEastAsia" w:hAnsiTheme="minorEastAsia" w:hint="eastAsia"/>
          <w:szCs w:val="21"/>
        </w:rPr>
        <w:t>。裁判官の資質もさることながら、訴状を提出してから判決までの間</w:t>
      </w:r>
      <w:r>
        <w:rPr>
          <w:rFonts w:asciiTheme="minorEastAsia" w:hAnsiTheme="minorEastAsia" w:hint="eastAsia"/>
          <w:szCs w:val="21"/>
        </w:rPr>
        <w:t>に、福島から避難してこられた、あるいは若狭現地に住む原告の方々</w:t>
      </w:r>
      <w:r w:rsidRPr="00BA3FBA">
        <w:rPr>
          <w:rFonts w:asciiTheme="minorEastAsia" w:hAnsiTheme="minorEastAsia" w:hint="eastAsia"/>
          <w:szCs w:val="21"/>
        </w:rPr>
        <w:t>が口頭弁論で行った意見陳述の際、美しい福島の大地が原発事故により踏みにじられたことや、原発間近に暮らす不安などに、裁判官がじ</w:t>
      </w:r>
      <w:r>
        <w:rPr>
          <w:rFonts w:asciiTheme="minorEastAsia" w:hAnsiTheme="minorEastAsia" w:hint="eastAsia"/>
          <w:szCs w:val="21"/>
        </w:rPr>
        <w:t>っくり耳を傾けたこと、あるいは、原告以外にさまざまな市民</w:t>
      </w:r>
      <w:r w:rsidRPr="00BA3FBA">
        <w:rPr>
          <w:rFonts w:asciiTheme="minorEastAsia" w:hAnsiTheme="minorEastAsia" w:hint="eastAsia"/>
          <w:szCs w:val="21"/>
        </w:rPr>
        <w:t>の意</w:t>
      </w:r>
      <w:r>
        <w:rPr>
          <w:rFonts w:asciiTheme="minorEastAsia" w:hAnsiTheme="minorEastAsia" w:hint="eastAsia"/>
          <w:szCs w:val="21"/>
        </w:rPr>
        <w:t>見を目にしたことも、直接間接に、今回の判決に影響したことであろう。そういう意味では、原告団の勝利であるのはもとより、市民社会全体の勝利だということができる</w:t>
      </w:r>
      <w:r w:rsidRPr="00BA3FBA">
        <w:rPr>
          <w:rFonts w:asciiTheme="minorEastAsia" w:hAnsiTheme="minorEastAsia" w:hint="eastAsia"/>
          <w:szCs w:val="21"/>
        </w:rPr>
        <w:t>。</w:t>
      </w:r>
    </w:p>
    <w:p w14:paraId="06AEC9FE" w14:textId="14E385CA" w:rsidR="00B01CAB" w:rsidRPr="00BA3FBA" w:rsidRDefault="00F24B65" w:rsidP="00F24B65">
      <w:pPr>
        <w:ind w:firstLineChars="100" w:firstLine="206"/>
        <w:rPr>
          <w:rFonts w:asciiTheme="minorEastAsia" w:hAnsiTheme="minorEastAsia"/>
          <w:szCs w:val="21"/>
        </w:rPr>
      </w:pPr>
      <w:r>
        <w:rPr>
          <w:rFonts w:asciiTheme="minorEastAsia" w:hAnsiTheme="minorEastAsia"/>
          <w:szCs w:val="21"/>
        </w:rPr>
        <w:t>また、原発事故による人格権侵害の具体的危険性を判断する基準として、</w:t>
      </w:r>
      <w:r w:rsidR="003A6A5E" w:rsidRPr="00BA3FBA">
        <w:rPr>
          <w:rFonts w:asciiTheme="minorEastAsia" w:hAnsiTheme="minorEastAsia" w:hint="eastAsia"/>
        </w:rPr>
        <w:t>「原子力発電所は，電気の生産という社会的には重要な機能を営むものではあるが，原子力の利用は平和目的に限られているから（原子力基本法</w:t>
      </w:r>
      <w:r w:rsidR="003A6A5E" w:rsidRPr="00BA3FBA">
        <w:rPr>
          <w:rFonts w:asciiTheme="minorEastAsia" w:hAnsiTheme="minorEastAsia" w:cs="Times New Roman"/>
        </w:rPr>
        <w:t>2</w:t>
      </w:r>
      <w:r w:rsidR="003A6A5E" w:rsidRPr="00BA3FBA">
        <w:rPr>
          <w:rFonts w:asciiTheme="minorEastAsia" w:hAnsiTheme="minorEastAsia" w:hint="eastAsia"/>
        </w:rPr>
        <w:t>条），原子力発電所の稼働は法的には電気を生み出すための一手段たる経済活動の自由（憲法</w:t>
      </w:r>
      <w:r w:rsidR="003A6A5E" w:rsidRPr="00BA3FBA">
        <w:rPr>
          <w:rFonts w:asciiTheme="minorEastAsia" w:hAnsiTheme="minorEastAsia" w:cs="Times New Roman"/>
        </w:rPr>
        <w:t>22</w:t>
      </w:r>
      <w:r w:rsidR="003A6A5E" w:rsidRPr="00BA3FBA">
        <w:rPr>
          <w:rFonts w:asciiTheme="minorEastAsia" w:hAnsiTheme="minorEastAsia" w:hint="eastAsia"/>
        </w:rPr>
        <w:t>条</w:t>
      </w:r>
      <w:r w:rsidR="003A6A5E" w:rsidRPr="00BA3FBA">
        <w:rPr>
          <w:rFonts w:asciiTheme="minorEastAsia" w:hAnsiTheme="minorEastAsia" w:cs="Times New Roman"/>
        </w:rPr>
        <w:t>1</w:t>
      </w:r>
      <w:r w:rsidR="003A6A5E" w:rsidRPr="00BA3FBA">
        <w:rPr>
          <w:rFonts w:asciiTheme="minorEastAsia" w:hAnsiTheme="minorEastAsia" w:hint="eastAsia"/>
        </w:rPr>
        <w:t>項）に属するものであって，憲法上は人格権の中核部分よりも劣位に置かれるべきものである．しかるところ，大きな自然災害や戦争以外で，この根源的な権利が極めて広汎に奪われるという事態</w:t>
      </w:r>
      <w:r w:rsidR="00D559C7" w:rsidRPr="00BA3FBA">
        <w:rPr>
          <w:rFonts w:asciiTheme="minorEastAsia" w:hAnsiTheme="minorEastAsia" w:hint="eastAsia"/>
        </w:rPr>
        <w:t>を招く可能性があるのは原子力発電所の事故のほかは想定し難い．・・・</w:t>
      </w:r>
      <w:r w:rsidR="003A6A5E" w:rsidRPr="00BA3FBA">
        <w:rPr>
          <w:rFonts w:asciiTheme="minorEastAsia" w:hAnsiTheme="minorEastAsia" w:hint="eastAsia"/>
        </w:rPr>
        <w:t>本件訴訟においては，本件原発において，かような事態を招く具体的危険性が万が一でもあるのかが判断の対象とされるべきであり，福島原発事故の後において，この判断を避けることは裁判所に課された最も重要な責務を放棄するに等しいものと考えられる」</w:t>
      </w:r>
      <w:r w:rsidR="009D13A3" w:rsidRPr="00BA3FBA">
        <w:rPr>
          <w:rFonts w:asciiTheme="minorEastAsia" w:hAnsiTheme="minorEastAsia" w:hint="eastAsia"/>
          <w:szCs w:val="21"/>
          <w:vertAlign w:val="superscript"/>
        </w:rPr>
        <w:t>1）</w:t>
      </w:r>
      <w:r>
        <w:rPr>
          <w:rFonts w:asciiTheme="minorEastAsia" w:hAnsiTheme="minorEastAsia" w:hint="eastAsia"/>
        </w:rPr>
        <w:t>という基準を定立したことも、福島第一原発事故後、初の本訴訟における司法判断としてふさわしいものであり、2015年4月14日に福井地方裁判所が発令した高浜原</w:t>
      </w:r>
      <w:r>
        <w:rPr>
          <w:rFonts w:asciiTheme="minorEastAsia" w:hAnsiTheme="minorEastAsia" w:hint="eastAsia"/>
        </w:rPr>
        <w:t>発差止仮処分、2016年3月9日に大津地方裁判所が発令した高浜原発差止仮処分をはじめ、その後の司法判断にも大きな影響を与えた。</w:t>
      </w:r>
    </w:p>
    <w:p w14:paraId="3E56D029" w14:textId="00FA9F55" w:rsidR="00BF369B" w:rsidRDefault="001057FA" w:rsidP="00F24B65">
      <w:pPr>
        <w:rPr>
          <w:rFonts w:asciiTheme="minorEastAsia" w:hAnsiTheme="minorEastAsia"/>
          <w:szCs w:val="21"/>
        </w:rPr>
      </w:pPr>
      <w:r w:rsidRPr="00BA3FBA">
        <w:rPr>
          <w:rFonts w:asciiTheme="minorEastAsia" w:hAnsiTheme="minorEastAsia" w:hint="eastAsia"/>
          <w:szCs w:val="21"/>
        </w:rPr>
        <w:t xml:space="preserve">　</w:t>
      </w:r>
      <w:r w:rsidR="00F24B65">
        <w:rPr>
          <w:rFonts w:asciiTheme="minorEastAsia" w:hAnsiTheme="minorEastAsia" w:hint="eastAsia"/>
          <w:szCs w:val="21"/>
        </w:rPr>
        <w:t>その後、関西電力は樋口判決に対して控訴を申し立て、2018年7月4日、名古屋高等裁判所金沢支部は、同判決を覆した（以下「高裁判決」）。しかしながら高裁判決も、樋口判決の事実認定そのものは覆しておらず、むしろ、</w:t>
      </w:r>
      <w:r w:rsidR="00590554">
        <w:rPr>
          <w:rFonts w:asciiTheme="minorEastAsia" w:hAnsiTheme="minorEastAsia" w:hint="eastAsia"/>
          <w:szCs w:val="21"/>
        </w:rPr>
        <w:t>「</w:t>
      </w:r>
      <w:r w:rsidR="00F24B65">
        <w:rPr>
          <w:rFonts w:asciiTheme="minorEastAsia" w:hAnsiTheme="minorEastAsia" w:hint="eastAsia"/>
          <w:szCs w:val="21"/>
        </w:rPr>
        <w:t>地震学の限界は、原判決のいうとおりである</w:t>
      </w:r>
      <w:r w:rsidR="00590554">
        <w:rPr>
          <w:rFonts w:asciiTheme="minorEastAsia" w:hAnsiTheme="minorEastAsia" w:hint="eastAsia"/>
          <w:szCs w:val="21"/>
        </w:rPr>
        <w:t>」</w:t>
      </w:r>
      <w:r w:rsidR="00F24B65">
        <w:rPr>
          <w:rFonts w:asciiTheme="minorEastAsia" w:hAnsiTheme="minorEastAsia" w:hint="eastAsia"/>
          <w:szCs w:val="21"/>
        </w:rPr>
        <w:t>と判示した。高裁判決も、原発ゼロの決断は立法府の役割だという、法的理論を超越した理由によってしか、樋口判決を覆せなかったのである。</w:t>
      </w:r>
    </w:p>
    <w:p w14:paraId="00B6D516" w14:textId="77777777" w:rsidR="00F24B65" w:rsidRPr="00F24B65" w:rsidRDefault="00F24B65" w:rsidP="00F24B65">
      <w:pPr>
        <w:rPr>
          <w:rFonts w:asciiTheme="minorEastAsia" w:hAnsiTheme="minorEastAsia"/>
        </w:rPr>
      </w:pPr>
    </w:p>
    <w:p w14:paraId="21D7B8C4" w14:textId="7CB3F8F9" w:rsidR="00BA3FBA" w:rsidRPr="00BA3FBA" w:rsidRDefault="00F24B65" w:rsidP="00BA3FBA">
      <w:pPr>
        <w:rPr>
          <w:rFonts w:asciiTheme="minorEastAsia" w:hAnsiTheme="minorEastAsia"/>
          <w:szCs w:val="21"/>
        </w:rPr>
      </w:pPr>
      <w:r>
        <w:rPr>
          <w:rFonts w:asciiTheme="minorEastAsia" w:hAnsiTheme="minorEastAsia" w:hint="eastAsia"/>
          <w:szCs w:val="21"/>
        </w:rPr>
        <w:t>２</w:t>
      </w:r>
      <w:r w:rsidR="00BA3FBA" w:rsidRPr="00BA3FBA">
        <w:rPr>
          <w:rFonts w:asciiTheme="minorEastAsia" w:hAnsiTheme="minorEastAsia" w:hint="eastAsia"/>
          <w:szCs w:val="21"/>
        </w:rPr>
        <w:t>．美浜原発３号機の運転差止仮処分（大阪地裁→</w:t>
      </w:r>
      <w:r>
        <w:rPr>
          <w:rFonts w:asciiTheme="minorEastAsia" w:hAnsiTheme="minorEastAsia" w:hint="eastAsia"/>
          <w:szCs w:val="21"/>
        </w:rPr>
        <w:t>大阪高裁</w:t>
      </w:r>
      <w:r w:rsidR="00BA3FBA" w:rsidRPr="00BA3FBA">
        <w:rPr>
          <w:rFonts w:asciiTheme="minorEastAsia" w:hAnsiTheme="minorEastAsia" w:hint="eastAsia"/>
          <w:szCs w:val="21"/>
        </w:rPr>
        <w:t>）</w:t>
      </w:r>
    </w:p>
    <w:p w14:paraId="3B60FE85" w14:textId="09F4A357" w:rsidR="00590554" w:rsidRPr="00590554" w:rsidRDefault="00590554" w:rsidP="00590554">
      <w:pPr>
        <w:ind w:firstLineChars="100" w:firstLine="206"/>
        <w:rPr>
          <w:rFonts w:asciiTheme="minorEastAsia" w:hAnsiTheme="minorEastAsia"/>
        </w:rPr>
      </w:pPr>
      <w:r>
        <w:rPr>
          <w:rFonts w:asciiTheme="minorEastAsia" w:hAnsiTheme="minorEastAsia" w:hint="eastAsia"/>
        </w:rPr>
        <w:t>その後、2020年12月4日、大阪地裁は大飯原発の3・4号機の設置変更を許可した原子力規制委員会の処分を無効だとする判決を言い渡した（以下「</w:t>
      </w:r>
      <w:r w:rsidR="00B0710B">
        <w:rPr>
          <w:rFonts w:asciiTheme="minorEastAsia" w:hAnsiTheme="minorEastAsia" w:hint="eastAsia"/>
        </w:rPr>
        <w:t>大阪地裁判決</w:t>
      </w:r>
      <w:r>
        <w:rPr>
          <w:rFonts w:asciiTheme="minorEastAsia" w:hAnsiTheme="minorEastAsia" w:hint="eastAsia"/>
        </w:rPr>
        <w:t>」）。</w:t>
      </w:r>
      <w:r w:rsidR="00B0710B">
        <w:rPr>
          <w:rFonts w:asciiTheme="minorEastAsia" w:hAnsiTheme="minorEastAsia" w:hint="eastAsia"/>
        </w:rPr>
        <w:t>大阪地裁判決</w:t>
      </w:r>
      <w:r>
        <w:rPr>
          <w:rFonts w:asciiTheme="minorEastAsia" w:hAnsiTheme="minorEastAsia" w:hint="eastAsia"/>
        </w:rPr>
        <w:t>も、樋口判決の</w:t>
      </w:r>
      <w:r w:rsidRPr="00590554">
        <w:rPr>
          <w:rFonts w:asciiTheme="minorEastAsia" w:hAnsiTheme="minorEastAsia" w:hint="eastAsia"/>
        </w:rPr>
        <w:t>指摘を、</w:t>
      </w:r>
      <w:r>
        <w:rPr>
          <w:rFonts w:asciiTheme="minorEastAsia" w:hAnsiTheme="minorEastAsia" w:hint="eastAsia"/>
        </w:rPr>
        <w:t>より発展させた判決と評価することができる</w:t>
      </w:r>
      <w:r w:rsidRPr="00590554">
        <w:rPr>
          <w:rFonts w:asciiTheme="minorEastAsia" w:hAnsiTheme="minorEastAsia" w:hint="eastAsia"/>
        </w:rPr>
        <w:t>。</w:t>
      </w:r>
    </w:p>
    <w:p w14:paraId="1310F8F4" w14:textId="4FA63E04" w:rsidR="00590554" w:rsidRPr="00590554" w:rsidRDefault="00B0710B" w:rsidP="00590554">
      <w:pPr>
        <w:ind w:firstLineChars="100" w:firstLine="206"/>
        <w:rPr>
          <w:rFonts w:asciiTheme="minorEastAsia" w:hAnsiTheme="minorEastAsia"/>
        </w:rPr>
      </w:pPr>
      <w:r>
        <w:rPr>
          <w:rFonts w:asciiTheme="minorEastAsia" w:hAnsiTheme="minorEastAsia" w:hint="eastAsia"/>
        </w:rPr>
        <w:t>大阪地裁判決</w:t>
      </w:r>
      <w:r w:rsidR="00590554" w:rsidRPr="00590554">
        <w:rPr>
          <w:rFonts w:asciiTheme="minorEastAsia" w:hAnsiTheme="minorEastAsia" w:hint="eastAsia"/>
        </w:rPr>
        <w:t>では、関西電力が基準地震動を策定する際に依拠した経験式（入倉・三宅式）そのものは不合理とはいえないとしました。</w:t>
      </w:r>
    </w:p>
    <w:p w14:paraId="0D2B6ACE" w14:textId="0DC83278" w:rsidR="00590554" w:rsidRPr="00590554" w:rsidRDefault="00590554" w:rsidP="00590554">
      <w:pPr>
        <w:ind w:firstLineChars="100" w:firstLine="206"/>
        <w:rPr>
          <w:rFonts w:asciiTheme="minorEastAsia" w:hAnsiTheme="minorEastAsia"/>
        </w:rPr>
      </w:pPr>
      <w:r w:rsidRPr="00590554">
        <w:rPr>
          <w:rFonts w:asciiTheme="minorEastAsia" w:hAnsiTheme="minorEastAsia" w:hint="eastAsia"/>
        </w:rPr>
        <w:t>実は入倉</w:t>
      </w:r>
      <w:r>
        <w:rPr>
          <w:rFonts w:asciiTheme="minorEastAsia" w:hAnsiTheme="minorEastAsia" w:hint="eastAsia"/>
        </w:rPr>
        <w:t>教授</w:t>
      </w:r>
      <w:r w:rsidRPr="00590554">
        <w:rPr>
          <w:rFonts w:asciiTheme="minorEastAsia" w:hAnsiTheme="minorEastAsia" w:hint="eastAsia"/>
        </w:rPr>
        <w:t>は、</w:t>
      </w:r>
      <w:r>
        <w:rPr>
          <w:rFonts w:asciiTheme="minorEastAsia" w:hAnsiTheme="minorEastAsia" w:hint="eastAsia"/>
        </w:rPr>
        <w:t>京大知球会（京大理学部地球物理系の同窓会）の会長を務めている関係で当職</w:t>
      </w:r>
      <w:r w:rsidRPr="00590554">
        <w:rPr>
          <w:rFonts w:asciiTheme="minorEastAsia" w:hAnsiTheme="minorEastAsia" w:hint="eastAsia"/>
        </w:rPr>
        <w:t>と</w:t>
      </w:r>
      <w:r>
        <w:rPr>
          <w:rFonts w:asciiTheme="minorEastAsia" w:hAnsiTheme="minorEastAsia" w:hint="eastAsia"/>
        </w:rPr>
        <w:t>も面識があり、三宅教授に至っては、大学３年生のときゼミで一緒に研究した関係にある</w:t>
      </w:r>
      <w:r w:rsidRPr="00590554">
        <w:rPr>
          <w:rFonts w:asciiTheme="minorEastAsia" w:hAnsiTheme="minorEastAsia" w:hint="eastAsia"/>
        </w:rPr>
        <w:t>。</w:t>
      </w:r>
    </w:p>
    <w:p w14:paraId="55AD2339" w14:textId="0A9C8EA6" w:rsidR="00590554" w:rsidRPr="00590554" w:rsidRDefault="00590554" w:rsidP="00590554">
      <w:pPr>
        <w:ind w:firstLineChars="100" w:firstLine="206"/>
        <w:rPr>
          <w:rFonts w:asciiTheme="minorEastAsia" w:hAnsiTheme="minorEastAsia"/>
        </w:rPr>
      </w:pPr>
      <w:r>
        <w:rPr>
          <w:rFonts w:asciiTheme="minorEastAsia" w:hAnsiTheme="minorEastAsia" w:hint="eastAsia"/>
        </w:rPr>
        <w:t>両教授は、必ずしも</w:t>
      </w:r>
      <w:r w:rsidRPr="00590554">
        <w:rPr>
          <w:rFonts w:asciiTheme="minorEastAsia" w:hAnsiTheme="minorEastAsia" w:hint="eastAsia"/>
        </w:rPr>
        <w:t>科学者としての良識を欠いているわけではなく、「入倉・三宅式」も、【既に発生した】地震について地震の規模（地震モーメント）と震源断層の長さまたは</w:t>
      </w:r>
      <w:r>
        <w:rPr>
          <w:rFonts w:asciiTheme="minorEastAsia" w:hAnsiTheme="minorEastAsia" w:hint="eastAsia"/>
        </w:rPr>
        <w:t>面積との関係（スケーリング関係）を記述する経験式としては、間違っているわけではない</w:t>
      </w:r>
      <w:r w:rsidRPr="00590554">
        <w:rPr>
          <w:rFonts w:asciiTheme="minorEastAsia" w:hAnsiTheme="minorEastAsia" w:hint="eastAsia"/>
        </w:rPr>
        <w:t>。</w:t>
      </w:r>
    </w:p>
    <w:p w14:paraId="6E2D18FF" w14:textId="76C0D3C0" w:rsidR="00590554" w:rsidRPr="00590554" w:rsidRDefault="00B0710B" w:rsidP="00590554">
      <w:pPr>
        <w:ind w:firstLineChars="100" w:firstLine="206"/>
        <w:rPr>
          <w:rFonts w:asciiTheme="minorEastAsia" w:hAnsiTheme="minorEastAsia"/>
        </w:rPr>
      </w:pPr>
      <w:r>
        <w:rPr>
          <w:rFonts w:asciiTheme="minorEastAsia" w:hAnsiTheme="minorEastAsia" w:hint="eastAsia"/>
        </w:rPr>
        <w:t>大阪地裁判決</w:t>
      </w:r>
      <w:r w:rsidR="00590554" w:rsidRPr="00590554">
        <w:rPr>
          <w:rFonts w:asciiTheme="minorEastAsia" w:hAnsiTheme="minorEastAsia" w:hint="eastAsia"/>
        </w:rPr>
        <w:t>が、原告が依拠するよう求めた式にも採用すべき十分な理由があるとしつつ、入倉・三宅式そのものを不合理としなかったの</w:t>
      </w:r>
      <w:r w:rsidR="00590554" w:rsidRPr="00590554">
        <w:rPr>
          <w:rFonts w:asciiTheme="minorEastAsia" w:hAnsiTheme="minorEastAsia" w:hint="eastAsia"/>
        </w:rPr>
        <w:lastRenderedPageBreak/>
        <w:t>は、司法としての見識を示したものといえ</w:t>
      </w:r>
      <w:r w:rsidR="00590554">
        <w:rPr>
          <w:rFonts w:asciiTheme="minorEastAsia" w:hAnsiTheme="minorEastAsia" w:hint="eastAsia"/>
        </w:rPr>
        <w:t>る</w:t>
      </w:r>
      <w:r w:rsidR="00590554">
        <w:rPr>
          <w:rStyle w:val="ad"/>
          <w:rFonts w:asciiTheme="minorEastAsia" w:hAnsiTheme="minorEastAsia"/>
        </w:rPr>
        <w:footnoteReference w:id="1"/>
      </w:r>
      <w:r w:rsidR="00590554" w:rsidRPr="00590554">
        <w:rPr>
          <w:rFonts w:asciiTheme="minorEastAsia" w:hAnsiTheme="minorEastAsia" w:hint="eastAsia"/>
        </w:rPr>
        <w:t>。</w:t>
      </w:r>
    </w:p>
    <w:p w14:paraId="13934844" w14:textId="2821F3DA" w:rsidR="00423C0F" w:rsidRDefault="00423C0F" w:rsidP="00423C0F">
      <w:pPr>
        <w:ind w:firstLineChars="100" w:firstLine="206"/>
      </w:pPr>
      <w:r>
        <w:rPr>
          <w:rFonts w:hint="eastAsia"/>
        </w:rPr>
        <w:t>一方、入倉・三宅式そのものが自然科学的に間違っていないとしても、社会においてこの式をどう活用するかは、また別の問題である。入倉氏も三宅氏も、原発の耐震設計を主眼に置いてこの式をつくったわけではない。特に、方法論が違う以上やむを得ないとはいえ、【今後発生する地震の予測】においては、入倉・三宅式は、他の式に比べて低い数値が出る傾向にある。</w:t>
      </w:r>
    </w:p>
    <w:p w14:paraId="144825CF" w14:textId="1FDB3C17" w:rsidR="00423C0F" w:rsidRDefault="00423C0F" w:rsidP="00423C0F">
      <w:pPr>
        <w:ind w:firstLineChars="100" w:firstLine="206"/>
      </w:pPr>
      <w:r>
        <w:rPr>
          <w:rFonts w:hint="eastAsia"/>
        </w:rPr>
        <w:t>ここで、</w:t>
      </w:r>
      <w:r w:rsidR="00B0710B">
        <w:rPr>
          <w:rFonts w:hint="eastAsia"/>
        </w:rPr>
        <w:t>大阪地裁判決</w:t>
      </w:r>
      <w:r>
        <w:rPr>
          <w:rFonts w:hint="eastAsia"/>
        </w:rPr>
        <w:t>が重視したのが、ほかならぬ原子力規制委員会が定めた「基準地震動及び耐震設計方針に係る審査ガイド」（以下「地震動ガイド」）である。地震動ガイドは、「経験式は平均値としての地震規模を与えるものであるから、経験式が有するばらつきも考慮されている必要がある」</w:t>
      </w:r>
      <w:r>
        <w:rPr>
          <w:rStyle w:val="ad"/>
        </w:rPr>
        <w:footnoteReference w:id="2"/>
      </w:r>
      <w:r>
        <w:rPr>
          <w:rFonts w:hint="eastAsia"/>
        </w:rPr>
        <w:t>と定めている。この地震動ガイドの定めは、樋口判決が指摘したこととも共通する。</w:t>
      </w:r>
    </w:p>
    <w:p w14:paraId="2EDF2628" w14:textId="796EF01C" w:rsidR="00423C0F" w:rsidRDefault="00B0710B" w:rsidP="00423C0F">
      <w:pPr>
        <w:ind w:firstLineChars="100" w:firstLine="206"/>
      </w:pPr>
      <w:r>
        <w:rPr>
          <w:rFonts w:hint="eastAsia"/>
        </w:rPr>
        <w:t>大阪地裁判決</w:t>
      </w:r>
      <w:r w:rsidR="00423C0F">
        <w:rPr>
          <w:rFonts w:hint="eastAsia"/>
        </w:rPr>
        <w:t>は、地震動ガイドの規定にもかかわらず、関西電力が、実際に発生する地震モーメントが平均値より大きい方向に乖離する可能性を考慮して地震モーメントを設定する等しなかったのに、国がそのことを検討することなく、上記審査ガイドに適合するとした審議・判断過程には、看過しがたい過誤・欠落があると判示した。</w:t>
      </w:r>
    </w:p>
    <w:p w14:paraId="2E2462AE" w14:textId="4AC7DD2A" w:rsidR="009F14FE" w:rsidRDefault="00423C0F" w:rsidP="00423C0F">
      <w:pPr>
        <w:ind w:firstLineChars="100" w:firstLine="206"/>
      </w:pPr>
      <w:r>
        <w:rPr>
          <w:rFonts w:hint="eastAsia"/>
        </w:rPr>
        <w:t>これは、関西電力が依拠した経験式そのものを批判することは控えつつも、経験式が平均値にすぎないことを踏まえて原告らが依拠した経験式とほぼ同様の結論を出すよう求めたものであり、科学の本質と謙虚に向き合ったもの</w:t>
      </w:r>
      <w:r>
        <w:rPr>
          <w:rFonts w:hint="eastAsia"/>
        </w:rPr>
        <w:t>と評価できる。</w:t>
      </w:r>
    </w:p>
    <w:p w14:paraId="6BC9AEC2" w14:textId="77777777" w:rsidR="00423C0F" w:rsidRDefault="00423C0F" w:rsidP="00423C0F">
      <w:pPr>
        <w:ind w:firstLineChars="100" w:firstLine="206"/>
      </w:pPr>
    </w:p>
    <w:p w14:paraId="45392E08" w14:textId="4B3963D5" w:rsidR="00423C0F" w:rsidRDefault="00423C0F" w:rsidP="00423C0F">
      <w:pPr>
        <w:ind w:firstLineChars="100" w:firstLine="206"/>
      </w:pPr>
      <w:r>
        <w:t>この</w:t>
      </w:r>
      <w:r w:rsidR="00B0710B">
        <w:t>大阪地裁判決</w:t>
      </w:r>
      <w:r>
        <w:t>を受け、福井県を含む近畿地方の住民</w:t>
      </w:r>
      <w:r w:rsidR="00B0710B">
        <w:t>９名は、</w:t>
      </w:r>
      <w:r w:rsidR="00B0710B">
        <w:t>2021</w:t>
      </w:r>
      <w:r w:rsidR="00B0710B">
        <w:t>年</w:t>
      </w:r>
      <w:r w:rsidR="00B0710B">
        <w:t>6</w:t>
      </w:r>
      <w:r w:rsidR="00B0710B">
        <w:t>月、上記判決を言い渡した大阪地方裁判所に、美浜原発３号機の運転差止の仮処分を申し立てた。</w:t>
      </w:r>
    </w:p>
    <w:p w14:paraId="05721EA0" w14:textId="6A683754" w:rsidR="00B0710B" w:rsidRDefault="00B0710B" w:rsidP="00423C0F">
      <w:pPr>
        <w:ind w:firstLineChars="100" w:firstLine="206"/>
      </w:pPr>
      <w:r>
        <w:t>美浜原発の大きな特徴は２つある。一つは、運転</w:t>
      </w:r>
      <w:r>
        <w:t>45</w:t>
      </w:r>
      <w:r>
        <w:t>年（申立当時、現在は</w:t>
      </w:r>
      <w:r>
        <w:t>47</w:t>
      </w:r>
      <w:r>
        <w:t>年）を経過した老朽原発であること。もう一つは、同原発のすぐ近くに活断層である丹生・白木断層があること。上記仮処分においても、この二つの論点を大きな争点として主張した。</w:t>
      </w:r>
    </w:p>
    <w:p w14:paraId="3B1F77A5" w14:textId="599F1AFA" w:rsidR="00B0710B" w:rsidRDefault="00B0710B" w:rsidP="00B0710B">
      <w:pPr>
        <w:ind w:firstLineChars="100" w:firstLine="206"/>
      </w:pPr>
      <w:r>
        <w:t>また、福井県嶺南地域の原発に共通する問題として、重大事故時の避難が他地域の原発とは比較にならない程困難であることが挙げられる。嶺南地域は、北を若狭湾、南を急峻な山脈にさえぎられており、平地はわずかである。したがって、基本的には東西方向に走っている数少ない道路等に頼るほかない。ところが、その東西方向には他の原発（東から順に、敦賀原発、美浜原発、大飯原発、高浜原発）がある。したがって、重大事故時には、他の原発の方向に向かって避難せざるを得ない。しかしながら、日本において原発が重大事故を起こすとしたら地震が大きな要因であるところ、それだけの地震が起こって他の原発が無傷であろうはずがない。</w:t>
      </w:r>
    </w:p>
    <w:p w14:paraId="09158A1C" w14:textId="77777777" w:rsidR="00B0710B" w:rsidRDefault="00B0710B" w:rsidP="00B0710B">
      <w:pPr>
        <w:ind w:firstLineChars="100" w:firstLine="206"/>
      </w:pPr>
      <w:r>
        <w:t>ところが、</w:t>
      </w:r>
      <w:r>
        <w:t>2022</w:t>
      </w:r>
      <w:r>
        <w:t>年</w:t>
      </w:r>
      <w:r>
        <w:t>12</w:t>
      </w:r>
      <w:r>
        <w:t>月</w:t>
      </w:r>
      <w:r>
        <w:t>20</w:t>
      </w:r>
      <w:r>
        <w:t>日に大阪地裁が出した決定（以下「大阪地裁【決定】」）は、申立人らの申立を却下するものであった。</w:t>
      </w:r>
    </w:p>
    <w:p w14:paraId="0D6F36A8" w14:textId="35CEF3EC" w:rsidR="00B0710B" w:rsidRDefault="00B0710B" w:rsidP="00B0710B">
      <w:pPr>
        <w:ind w:firstLineChars="100" w:firstLine="206"/>
      </w:pPr>
      <w:r>
        <w:t>上記の論点のうち、敷地近傍に活断層がある</w:t>
      </w:r>
      <w:r>
        <w:lastRenderedPageBreak/>
        <w:t>問題について、</w:t>
      </w:r>
      <w:r>
        <w:rPr>
          <w:rFonts w:hint="eastAsia"/>
        </w:rPr>
        <w:t>住民側は、計算によって出された「平均値」よりも上乗せすべきかの検討が行われていないと主張するとともに（大阪地裁【判決】参照）、「原発から約</w:t>
      </w:r>
      <w:r>
        <w:rPr>
          <w:rFonts w:hint="eastAsia"/>
        </w:rPr>
        <w:t>1</w:t>
      </w:r>
      <w:r>
        <w:rPr>
          <w:rFonts w:hint="eastAsia"/>
        </w:rPr>
        <w:t>キロの距離に活断層がある」として、関電の算定は不十分だと主張していた。</w:t>
      </w:r>
    </w:p>
    <w:p w14:paraId="2F2576A9" w14:textId="5E8F1A5C" w:rsidR="00B0710B" w:rsidRDefault="00B0710B" w:rsidP="00B0710B">
      <w:pPr>
        <w:ind w:firstLineChars="100" w:firstLine="206"/>
      </w:pPr>
      <w:r>
        <w:rPr>
          <w:rFonts w:hint="eastAsia"/>
        </w:rPr>
        <w:t>これに対し関電側は、算定の際に検討すべき活断層は「敷地から</w:t>
      </w:r>
      <w:r>
        <w:rPr>
          <w:rFonts w:hint="eastAsia"/>
        </w:rPr>
        <w:t>250</w:t>
      </w:r>
      <w:r>
        <w:rPr>
          <w:rFonts w:hint="eastAsia"/>
        </w:rPr>
        <w:t>メートル程度の範囲内だ」として該当するものがないと反論した。計算の際には、震源として想定する断層の長さや面積を大きく見積もっており、基準地震動は高めに設定されていると説明していた。</w:t>
      </w:r>
    </w:p>
    <w:p w14:paraId="32F31BB5" w14:textId="23A9FB25" w:rsidR="00B0710B" w:rsidRDefault="00B0710B" w:rsidP="00B0710B">
      <w:pPr>
        <w:ind w:firstLineChars="100" w:firstLine="206"/>
      </w:pPr>
      <w:r>
        <w:t>大阪地裁決定は、検討すべき活断層が敷地から</w:t>
      </w:r>
      <w:r>
        <w:t>250m</w:t>
      </w:r>
      <w:r>
        <w:t>程度の範囲内に限られるという不合理極まりない関電の主張をそのまま採用し、住民らの申立を却下したのである。</w:t>
      </w:r>
    </w:p>
    <w:p w14:paraId="4B147E1A" w14:textId="65C19FF6" w:rsidR="00B0710B" w:rsidRPr="003C1597" w:rsidRDefault="00B0710B" w:rsidP="003C1597">
      <w:pPr>
        <w:ind w:firstLineChars="100" w:firstLine="206"/>
        <w:rPr>
          <w:color w:val="FF0000"/>
        </w:rPr>
      </w:pPr>
      <w:r>
        <w:t>これに対して住民らは抗告し、現在、大阪高等裁判所で審理が行われている。</w:t>
      </w:r>
      <w:r w:rsidR="003C1597" w:rsidRPr="003C1597">
        <w:rPr>
          <w:color w:val="FF0000"/>
        </w:rPr>
        <w:t>2023</w:t>
      </w:r>
      <w:r w:rsidR="003C1597" w:rsidRPr="003C1597">
        <w:rPr>
          <w:color w:val="FF0000"/>
        </w:rPr>
        <w:t>年</w:t>
      </w:r>
      <w:r w:rsidR="003C1597" w:rsidRPr="003C1597">
        <w:rPr>
          <w:color w:val="FF0000"/>
        </w:rPr>
        <w:t>12</w:t>
      </w:r>
      <w:r w:rsidR="003C1597" w:rsidRPr="003C1597">
        <w:rPr>
          <w:color w:val="FF0000"/>
        </w:rPr>
        <w:t>月、</w:t>
      </w:r>
      <w:r w:rsidR="003C1597" w:rsidRPr="003C1597">
        <w:rPr>
          <w:rFonts w:hint="eastAsia"/>
          <w:color w:val="FF0000"/>
        </w:rPr>
        <w:t>住民側、関電側双方から、それぞれ１時間ずつのプレゼンテーションを行う。</w:t>
      </w:r>
    </w:p>
    <w:p w14:paraId="0639B448" w14:textId="77777777" w:rsidR="003C1597" w:rsidRDefault="003C1597" w:rsidP="003C1597">
      <w:pPr>
        <w:ind w:firstLineChars="100" w:firstLine="206"/>
      </w:pPr>
      <w:r>
        <w:t>200</w:t>
      </w:r>
      <w:r>
        <w:rPr>
          <w:rFonts w:hint="eastAsia"/>
        </w:rPr>
        <w:t>3</w:t>
      </w:r>
      <w:r>
        <w:t>年</w:t>
      </w:r>
      <w:r>
        <w:t>1</w:t>
      </w:r>
      <w:r>
        <w:t>月</w:t>
      </w:r>
      <w:r>
        <w:t>27</w:t>
      </w:r>
      <w:r>
        <w:t>日、日本の原子力施設の運転をめぐって初めて住民勝訴の判決を言い渡した「もんじゅ」訴訟高裁判決（名古屋高裁金沢支部）においては、このプレゼンテーションが重要な役割を果たした。住民側代理人を務めた海渡雄一弁護士によれば、当初、裁判所は問題の所在を必ずしも理解していなかった。しかし、回を重ねるにつれ、裁判官から鋭い質問が出るようになり、もんじゅ設置許可をめぐる問題点が次第に裁判官に明らかになっていった。</w:t>
      </w:r>
    </w:p>
    <w:p w14:paraId="59DAE78F" w14:textId="77777777" w:rsidR="003C1597" w:rsidRDefault="003C1597" w:rsidP="003C1597">
      <w:pPr>
        <w:ind w:firstLineChars="100" w:firstLine="206"/>
      </w:pPr>
    </w:p>
    <w:p w14:paraId="3DF24B84" w14:textId="0C568082" w:rsidR="003C1597" w:rsidRDefault="003C1597" w:rsidP="003C1597">
      <w:r>
        <w:t>３　美浜原発３号機の運転差止仮処分（福井地裁）</w:t>
      </w:r>
    </w:p>
    <w:p w14:paraId="6D8CAD20" w14:textId="72366D42" w:rsidR="003C1597" w:rsidRDefault="003C1597" w:rsidP="003C1597">
      <w:r>
        <w:t xml:space="preserve">　大阪地裁決定から間もなくして、とりわけ福井県の住民ら</w:t>
      </w:r>
      <w:r>
        <w:t>10</w:t>
      </w:r>
      <w:r>
        <w:t>名が、福井の地でこそ老朽原発の問題点を明らかにする必要があると考え、</w:t>
      </w:r>
      <w:r>
        <w:t>2023</w:t>
      </w:r>
      <w:r>
        <w:t>年</w:t>
      </w:r>
      <w:r>
        <w:t>1</w:t>
      </w:r>
      <w:r>
        <w:t>月</w:t>
      </w:r>
      <w:r>
        <w:t>13</w:t>
      </w:r>
      <w:r>
        <w:t>日、福井地方裁判所に美浜原発運転差止の仮処分を申し立てた。</w:t>
      </w:r>
    </w:p>
    <w:p w14:paraId="597683D7" w14:textId="77777777" w:rsidR="00B562C5" w:rsidRDefault="003C1597" w:rsidP="00B562C5">
      <w:r>
        <w:t xml:space="preserve">　審尋は</w:t>
      </w:r>
      <w:r>
        <w:t>4</w:t>
      </w:r>
      <w:r>
        <w:t>月</w:t>
      </w:r>
      <w:r>
        <w:t>19</w:t>
      </w:r>
      <w:r>
        <w:t>日、</w:t>
      </w:r>
      <w:r w:rsidR="00B562C5">
        <w:t>7</w:t>
      </w:r>
      <w:r w:rsidR="00B562C5">
        <w:t>月</w:t>
      </w:r>
      <w:r w:rsidR="00B562C5">
        <w:t>3</w:t>
      </w:r>
      <w:r w:rsidR="00B562C5">
        <w:t>日、</w:t>
      </w:r>
      <w:r w:rsidR="00B562C5">
        <w:t>9</w:t>
      </w:r>
      <w:r w:rsidR="00B562C5">
        <w:t>月</w:t>
      </w:r>
      <w:r w:rsidR="00B562C5">
        <w:t>22</w:t>
      </w:r>
      <w:r w:rsidR="00B562C5">
        <w:t>日、</w:t>
      </w:r>
      <w:r w:rsidR="00B562C5">
        <w:t>11</w:t>
      </w:r>
      <w:r w:rsidR="00B562C5">
        <w:t>月</w:t>
      </w:r>
      <w:r w:rsidR="00B562C5">
        <w:t>7</w:t>
      </w:r>
      <w:r w:rsidR="00B562C5">
        <w:t>日、</w:t>
      </w:r>
      <w:r w:rsidR="00B562C5">
        <w:t>12</w:t>
      </w:r>
      <w:r w:rsidR="00B562C5">
        <w:t>月</w:t>
      </w:r>
      <w:r w:rsidR="00B562C5">
        <w:t>12</w:t>
      </w:r>
      <w:r w:rsidR="00B562C5">
        <w:t>日に開かれ、</w:t>
      </w:r>
      <w:r w:rsidR="00B562C5">
        <w:t>1</w:t>
      </w:r>
      <w:r w:rsidR="00B562C5" w:rsidRPr="00B562C5">
        <w:rPr>
          <w:color w:val="FF0000"/>
        </w:rPr>
        <w:t>2</w:t>
      </w:r>
      <w:r w:rsidR="00B562C5" w:rsidRPr="00B562C5">
        <w:rPr>
          <w:color w:val="FF0000"/>
        </w:rPr>
        <w:t>月</w:t>
      </w:r>
      <w:r w:rsidR="00B562C5" w:rsidRPr="00B562C5">
        <w:rPr>
          <w:color w:val="FF0000"/>
        </w:rPr>
        <w:t>12</w:t>
      </w:r>
      <w:r w:rsidR="00B562C5" w:rsidRPr="00B562C5">
        <w:rPr>
          <w:color w:val="FF0000"/>
        </w:rPr>
        <w:t>日をもって審理が終結した。</w:t>
      </w:r>
      <w:r w:rsidR="00B562C5">
        <w:t>年度内に決定が出るものとみられる。</w:t>
      </w:r>
    </w:p>
    <w:p w14:paraId="52EAA598" w14:textId="77777777" w:rsidR="00B562C5" w:rsidRDefault="00B562C5" w:rsidP="00B562C5">
      <w:r>
        <w:t xml:space="preserve">　この仮処分の争点も、前述した大阪地裁の仮処分とほぼ共通し、原発の老朽化、近傍に活断層があること、避難の困難さが重要な問題点となっている。</w:t>
      </w:r>
    </w:p>
    <w:p w14:paraId="30E4E747" w14:textId="77777777" w:rsidR="00B562C5" w:rsidRDefault="00B562C5" w:rsidP="00B562C5"/>
    <w:p w14:paraId="5FE3327E" w14:textId="77777777" w:rsidR="00B562C5" w:rsidRDefault="00B562C5" w:rsidP="00B562C5">
      <w:r>
        <w:t>４　高浜原発１～４号機の運転差止仮処分</w:t>
      </w:r>
    </w:p>
    <w:p w14:paraId="312DD7EC" w14:textId="3F406D50" w:rsidR="00605454" w:rsidRDefault="00B562C5" w:rsidP="00B562C5">
      <w:pPr>
        <w:rPr>
          <w:rFonts w:asciiTheme="minorEastAsia" w:hAnsiTheme="minorEastAsia"/>
          <w:sz w:val="16"/>
          <w:szCs w:val="16"/>
        </w:rPr>
      </w:pPr>
      <w:r>
        <w:t xml:space="preserve">　同原発の仮処分は</w:t>
      </w:r>
      <w:r>
        <w:t>2022</w:t>
      </w:r>
      <w:r>
        <w:t>年</w:t>
      </w:r>
      <w:r>
        <w:t>5</w:t>
      </w:r>
      <w:r>
        <w:t>月に申し立てられ、当初は代理人を付けることなく、中嶌哲演師ら２名の住民が自ら審尋を行っていた。</w:t>
      </w:r>
      <w:r>
        <w:t>10</w:t>
      </w:r>
      <w:r>
        <w:t>月からは当職が代理人となっており、当職は</w:t>
      </w:r>
      <w:r>
        <w:t>202</w:t>
      </w:r>
      <w:r>
        <w:rPr>
          <w:rFonts w:hint="eastAsia"/>
        </w:rPr>
        <w:t>2</w:t>
      </w:r>
      <w:r>
        <w:t>年</w:t>
      </w:r>
      <w:r>
        <w:t>11</w:t>
      </w:r>
      <w:r>
        <w:t>月</w:t>
      </w:r>
      <w:r>
        <w:t>7</w:t>
      </w:r>
      <w:r>
        <w:t>日、</w:t>
      </w:r>
      <w:r>
        <w:t>2023</w:t>
      </w:r>
      <w:r>
        <w:t>年</w:t>
      </w:r>
      <w:r>
        <w:t>1</w:t>
      </w:r>
      <w:r>
        <w:t>月</w:t>
      </w:r>
      <w:r>
        <w:t>30</w:t>
      </w:r>
      <w:r>
        <w:t>日、</w:t>
      </w:r>
      <w:r>
        <w:t>2023</w:t>
      </w:r>
      <w:r>
        <w:t>年</w:t>
      </w:r>
      <w:r>
        <w:t>4</w:t>
      </w:r>
      <w:r>
        <w:t>月</w:t>
      </w:r>
      <w:r>
        <w:t>20</w:t>
      </w:r>
      <w:r>
        <w:t>日、</w:t>
      </w:r>
      <w:r>
        <w:t>7</w:t>
      </w:r>
      <w:r>
        <w:t>月</w:t>
      </w:r>
      <w:r>
        <w:t>4</w:t>
      </w:r>
      <w:r>
        <w:t>日、</w:t>
      </w:r>
      <w:r>
        <w:t>9</w:t>
      </w:r>
      <w:r>
        <w:t>月</w:t>
      </w:r>
      <w:r>
        <w:t>22</w:t>
      </w:r>
      <w:r>
        <w:t>日、</w:t>
      </w:r>
      <w:r>
        <w:t>12</w:t>
      </w:r>
      <w:r>
        <w:t>月</w:t>
      </w:r>
      <w:r>
        <w:t>12</w:t>
      </w:r>
      <w:r>
        <w:t>日の審尋期日に出席し、</w:t>
      </w:r>
      <w:r w:rsidRPr="00B562C5">
        <w:rPr>
          <w:color w:val="FF0000"/>
        </w:rPr>
        <w:t>12</w:t>
      </w:r>
      <w:r w:rsidRPr="00B562C5">
        <w:rPr>
          <w:color w:val="FF0000"/>
        </w:rPr>
        <w:t>月</w:t>
      </w:r>
      <w:r w:rsidRPr="00B562C5">
        <w:rPr>
          <w:color w:val="FF0000"/>
        </w:rPr>
        <w:t>12</w:t>
      </w:r>
      <w:r w:rsidRPr="00B562C5">
        <w:rPr>
          <w:color w:val="FF0000"/>
        </w:rPr>
        <w:t>日をもって審理が終結した。こちらも年度内に決定が出るものとみられる。</w:t>
      </w:r>
      <w:r w:rsidR="00B0710B">
        <w:rPr>
          <w:rFonts w:asciiTheme="minorEastAsia" w:hAnsiTheme="minorEastAsia" w:hint="eastAsia"/>
          <w:sz w:val="16"/>
          <w:szCs w:val="16"/>
        </w:rPr>
        <w:t xml:space="preserve">　</w:t>
      </w:r>
    </w:p>
    <w:p w14:paraId="1BFB7792" w14:textId="00ECBEE2" w:rsidR="009C362C" w:rsidRPr="009C362C" w:rsidRDefault="00B562C5" w:rsidP="009C362C">
      <w:pPr>
        <w:rPr>
          <w:rFonts w:asciiTheme="minorEastAsia" w:hAnsiTheme="minorEastAsia"/>
          <w:sz w:val="22"/>
        </w:rPr>
      </w:pPr>
      <w:r>
        <w:rPr>
          <w:rFonts w:asciiTheme="minorEastAsia" w:hAnsiTheme="minorEastAsia"/>
          <w:sz w:val="22"/>
        </w:rPr>
        <w:t xml:space="preserve">　この仮処分の争点として、美浜原発と共通する点としては老朽化や避難の困難さが挙げられる。とりわけ前者の論点に関連して、高浜原発では減肉事故が何度も発生している。関西電力の主張によっても、今後、同様の事態が発生しないための対策がなされているとは到底考えられない。</w:t>
      </w:r>
      <w:r w:rsidR="009C362C" w:rsidRPr="009C362C">
        <w:rPr>
          <w:rFonts w:asciiTheme="minorEastAsia" w:hAnsiTheme="minorEastAsia" w:hint="eastAsia"/>
          <w:sz w:val="22"/>
        </w:rPr>
        <w:t>原子力規制庁の高須統括監視指導官すら、</w:t>
      </w:r>
      <w:r w:rsidR="009C362C">
        <w:rPr>
          <w:rFonts w:asciiTheme="minorEastAsia" w:hAnsiTheme="minorEastAsia" w:hint="eastAsia"/>
          <w:sz w:val="22"/>
        </w:rPr>
        <w:t>「原子力施設等における自己トラブル事象への対応に関する公開会合第15回議事録(令和3年2月5日、原子力規制委員会)」28</w:t>
      </w:r>
      <w:r w:rsidR="009C362C" w:rsidRPr="009C362C">
        <w:rPr>
          <w:rFonts w:asciiTheme="minorEastAsia" w:hAnsiTheme="minorEastAsia" w:hint="eastAsia"/>
          <w:sz w:val="22"/>
        </w:rPr>
        <w:t>ｐ</w:t>
      </w:r>
      <w:r w:rsidR="009C362C">
        <w:rPr>
          <w:rFonts w:asciiTheme="minorEastAsia" w:hAnsiTheme="minorEastAsia" w:hint="eastAsia"/>
          <w:sz w:val="22"/>
        </w:rPr>
        <w:t>-29p</w:t>
      </w:r>
      <w:r w:rsidR="009C362C" w:rsidRPr="009C362C">
        <w:rPr>
          <w:rFonts w:asciiTheme="minorEastAsia" w:hAnsiTheme="minorEastAsia" w:hint="eastAsia"/>
          <w:sz w:val="22"/>
        </w:rPr>
        <w:t>にかけてこう述べている。</w:t>
      </w:r>
    </w:p>
    <w:p w14:paraId="1926ED0A" w14:textId="1563A06D" w:rsidR="009C362C" w:rsidRPr="009C362C" w:rsidRDefault="009C362C" w:rsidP="009C362C">
      <w:pPr>
        <w:rPr>
          <w:rFonts w:asciiTheme="minorEastAsia" w:hAnsiTheme="minorEastAsia"/>
          <w:sz w:val="22"/>
        </w:rPr>
      </w:pPr>
      <w:r w:rsidRPr="009C362C">
        <w:rPr>
          <w:rFonts w:asciiTheme="minorEastAsia" w:hAnsiTheme="minorEastAsia" w:hint="eastAsia"/>
          <w:sz w:val="22"/>
        </w:rPr>
        <w:t>「異物のときもそうですけど、ある程度、伝熱管の振れ幅が決まっているので貫通には至らない、これも理解はできます、メカニズム的に。一方で、Ａのようにスケールがずっと当たり続けるような、ああいった形状でずっと伝熱管にずっと当たり続ける形状にはならないんだというご説明ならそうでいい</w:t>
      </w:r>
      <w:r w:rsidRPr="009C362C">
        <w:rPr>
          <w:rFonts w:asciiTheme="minorEastAsia" w:hAnsiTheme="minorEastAsia" w:hint="eastAsia"/>
          <w:sz w:val="22"/>
        </w:rPr>
        <w:lastRenderedPageBreak/>
        <w:t>んですけど、それは多分否定できないんではないかなと思ってまして、そうなったときに稠密量が、どれぐらいのものが何時間やればこうなるんだという考察はあってもいいんじゃないかなと思うんですけど、いかがでしょうか」</w:t>
      </w:r>
    </w:p>
    <w:p w14:paraId="516D169B" w14:textId="056059AD" w:rsidR="00B562C5" w:rsidRDefault="009C362C" w:rsidP="009C362C">
      <w:pPr>
        <w:rPr>
          <w:rFonts w:asciiTheme="minorEastAsia" w:hAnsiTheme="minorEastAsia"/>
          <w:sz w:val="22"/>
        </w:rPr>
      </w:pPr>
      <w:r w:rsidRPr="009C362C">
        <w:rPr>
          <w:rFonts w:asciiTheme="minorEastAsia" w:hAnsiTheme="minorEastAsia" w:hint="eastAsia"/>
          <w:sz w:val="22"/>
        </w:rPr>
        <w:t>「今言われたやつをきちっとご説明いただかないと、我々、やはり次、これが本当に対策はできました、でも、スケールが出てくることは否定できません、そのスケールが悪さする可能性はどこまで悪さするんでしょうかというところが多分一つの大きな論点だと思うんです。そういうふうにお互いが振れるんで、その摩耗量がそこまで行かないんですという、その口頭の御説明いただいても、これはなかなか私としては納得いかないかなと思ってますので、そこはしっかりご説明していただく必要があるんじゃないかなと思いますが、いかがでしょうか。」</w:t>
      </w:r>
    </w:p>
    <w:p w14:paraId="2A0E222D" w14:textId="04BBB775" w:rsidR="009C362C" w:rsidRDefault="009C362C" w:rsidP="009C362C">
      <w:pPr>
        <w:rPr>
          <w:rFonts w:asciiTheme="minorEastAsia" w:hAnsiTheme="minorEastAsia"/>
          <w:sz w:val="22"/>
        </w:rPr>
      </w:pPr>
      <w:r>
        <w:rPr>
          <w:rFonts w:asciiTheme="minorEastAsia" w:hAnsiTheme="minorEastAsia"/>
          <w:sz w:val="22"/>
        </w:rPr>
        <w:t xml:space="preserve">　また、樋口判決、大阪地裁【判決】の双方が指摘している基準地震動の策定方法の問題点に関して、当職は第11主張書面において、以下のとおり、統計学的な指摘を試みた。</w:t>
      </w:r>
    </w:p>
    <w:p w14:paraId="65C3D0E7" w14:textId="1A3CC317" w:rsidR="009C362C" w:rsidRPr="009C362C" w:rsidRDefault="009C362C" w:rsidP="009C362C">
      <w:pPr>
        <w:pStyle w:val="Web"/>
        <w:shd w:val="clear" w:color="auto" w:fill="FFFFFF"/>
        <w:spacing w:before="120" w:after="120"/>
        <w:ind w:left="216" w:hanging="216"/>
        <w:rPr>
          <w:sz w:val="22"/>
          <w:szCs w:val="22"/>
        </w:rPr>
      </w:pPr>
      <w:r>
        <w:rPr>
          <w:rFonts w:hint="eastAsia"/>
          <w:sz w:val="22"/>
          <w:szCs w:val="22"/>
        </w:rPr>
        <w:t>「</w:t>
      </w:r>
      <w:r w:rsidRPr="009C362C">
        <w:rPr>
          <w:rFonts w:hint="eastAsia"/>
          <w:sz w:val="22"/>
          <w:szCs w:val="22"/>
        </w:rPr>
        <w:t>（１）標準偏差と対数標準偏差</w:t>
      </w:r>
      <w:r w:rsidRPr="009C362C">
        <w:rPr>
          <w:sz w:val="22"/>
          <w:szCs w:val="22"/>
        </w:rPr>
        <w:t xml:space="preserve">　</w:t>
      </w:r>
    </w:p>
    <w:p w14:paraId="24322CC6" w14:textId="77777777" w:rsidR="009C362C" w:rsidRPr="009C362C" w:rsidRDefault="009C362C" w:rsidP="009C362C">
      <w:pPr>
        <w:pStyle w:val="Web"/>
        <w:shd w:val="clear" w:color="auto" w:fill="FFFFFF"/>
        <w:spacing w:before="120" w:after="120"/>
        <w:ind w:leftChars="100" w:left="206" w:firstLineChars="100" w:firstLine="216"/>
        <w:rPr>
          <w:rFonts w:asciiTheme="minorEastAsia" w:eastAsiaTheme="minorEastAsia" w:hAnsiTheme="minorEastAsia" w:cs="Arial"/>
          <w:kern w:val="0"/>
          <w:sz w:val="22"/>
          <w:szCs w:val="22"/>
        </w:rPr>
      </w:pPr>
      <w:r w:rsidRPr="009C362C">
        <w:rPr>
          <w:rFonts w:asciiTheme="minorEastAsia" w:eastAsiaTheme="minorEastAsia" w:hAnsiTheme="minorEastAsia" w:cs="Arial"/>
          <w:kern w:val="0"/>
          <w:sz w:val="22"/>
          <w:szCs w:val="22"/>
        </w:rPr>
        <w:t>ア　標準偏差</w:t>
      </w:r>
    </w:p>
    <w:p w14:paraId="33EC6F43" w14:textId="77777777" w:rsidR="009C362C" w:rsidRPr="009C362C" w:rsidRDefault="009C362C" w:rsidP="009C362C">
      <w:pPr>
        <w:pStyle w:val="Web"/>
        <w:shd w:val="clear" w:color="auto" w:fill="FFFFFF"/>
        <w:spacing w:before="120" w:after="120"/>
        <w:ind w:leftChars="100" w:left="206" w:firstLineChars="100" w:firstLine="216"/>
        <w:rPr>
          <w:rFonts w:asciiTheme="minorEastAsia" w:eastAsiaTheme="minorEastAsia" w:hAnsiTheme="minorEastAsia" w:cs="Arial"/>
          <w:kern w:val="0"/>
          <w:sz w:val="22"/>
          <w:szCs w:val="22"/>
        </w:rPr>
      </w:pPr>
      <w:r w:rsidRPr="009C362C">
        <w:rPr>
          <w:rFonts w:asciiTheme="minorEastAsia" w:eastAsiaTheme="minorEastAsia" w:hAnsiTheme="minorEastAsia" w:cs="Arial"/>
          <w:kern w:val="0"/>
          <w:sz w:val="22"/>
          <w:szCs w:val="22"/>
        </w:rPr>
        <w:t>標準偏差（</w:t>
      </w:r>
      <w:r w:rsidRPr="009C362C">
        <w:rPr>
          <w:rFonts w:asciiTheme="minorEastAsia" w:eastAsiaTheme="minorEastAsia" w:hAnsiTheme="minorEastAsia" w:cs="Arial"/>
          <w:kern w:val="0"/>
          <w:sz w:val="22"/>
          <w:szCs w:val="22"/>
          <w:lang w:val="en"/>
        </w:rPr>
        <w:t>standard deviation</w:t>
      </w:r>
      <w:r w:rsidRPr="009C362C">
        <w:rPr>
          <w:rFonts w:asciiTheme="minorEastAsia" w:eastAsiaTheme="minorEastAsia" w:hAnsiTheme="minorEastAsia" w:cs="Arial"/>
          <w:kern w:val="0"/>
          <w:sz w:val="22"/>
          <w:szCs w:val="22"/>
        </w:rPr>
        <w:t>）とは、データや</w:t>
      </w:r>
      <w:hyperlink r:id="rId11" w:tooltip="確率変数" w:history="1">
        <w:r w:rsidRPr="009C362C">
          <w:rPr>
            <w:rFonts w:asciiTheme="minorEastAsia" w:eastAsiaTheme="minorEastAsia" w:hAnsiTheme="minorEastAsia" w:cs="Arial"/>
            <w:kern w:val="0"/>
            <w:sz w:val="22"/>
            <w:szCs w:val="22"/>
          </w:rPr>
          <w:t>確率変数</w:t>
        </w:r>
      </w:hyperlink>
      <w:r w:rsidRPr="009C362C">
        <w:rPr>
          <w:rFonts w:asciiTheme="minorEastAsia" w:eastAsiaTheme="minorEastAsia" w:hAnsiTheme="minorEastAsia" w:cs="Arial"/>
          <w:kern w:val="0"/>
          <w:sz w:val="22"/>
          <w:szCs w:val="22"/>
        </w:rPr>
        <w:t>の、</w:t>
      </w:r>
      <w:hyperlink r:id="rId12" w:tooltip="算術平均" w:history="1">
        <w:r w:rsidRPr="009C362C">
          <w:rPr>
            <w:rFonts w:asciiTheme="minorEastAsia" w:eastAsiaTheme="minorEastAsia" w:hAnsiTheme="minorEastAsia" w:cs="Arial"/>
            <w:kern w:val="0"/>
            <w:sz w:val="22"/>
            <w:szCs w:val="22"/>
          </w:rPr>
          <w:t>平均値</w:t>
        </w:r>
      </w:hyperlink>
      <w:r w:rsidRPr="009C362C">
        <w:rPr>
          <w:rFonts w:asciiTheme="minorEastAsia" w:eastAsiaTheme="minorEastAsia" w:hAnsiTheme="minorEastAsia" w:cs="Arial"/>
          <w:kern w:val="0"/>
          <w:sz w:val="22"/>
          <w:szCs w:val="22"/>
        </w:rPr>
        <w:t>からの</w:t>
      </w:r>
      <w:hyperlink r:id="rId13" w:tooltip="統計的ばらつき" w:history="1">
        <w:r w:rsidRPr="009C362C">
          <w:rPr>
            <w:rFonts w:asciiTheme="minorEastAsia" w:eastAsiaTheme="minorEastAsia" w:hAnsiTheme="minorEastAsia" w:cs="Arial"/>
            <w:kern w:val="0"/>
            <w:sz w:val="22"/>
            <w:szCs w:val="22"/>
          </w:rPr>
          <w:t>散らばり具合（ばらつき）</w:t>
        </w:r>
      </w:hyperlink>
      <w:r w:rsidRPr="009C362C">
        <w:rPr>
          <w:rFonts w:asciiTheme="minorEastAsia" w:eastAsiaTheme="minorEastAsia" w:hAnsiTheme="minorEastAsia" w:cs="Arial"/>
          <w:kern w:val="0"/>
          <w:sz w:val="22"/>
          <w:szCs w:val="22"/>
        </w:rPr>
        <w:t>を表す指標の一つである。</w:t>
      </w:r>
    </w:p>
    <w:p w14:paraId="1075342F" w14:textId="77777777" w:rsidR="009C362C" w:rsidRDefault="00B97945" w:rsidP="009C362C">
      <w:pPr>
        <w:widowControl/>
        <w:shd w:val="clear" w:color="auto" w:fill="FFFFFF"/>
        <w:spacing w:before="120" w:after="120"/>
        <w:ind w:leftChars="100" w:left="206" w:firstLineChars="100" w:firstLine="206"/>
        <w:jc w:val="left"/>
        <w:rPr>
          <w:rFonts w:asciiTheme="minorEastAsia" w:hAnsiTheme="minorEastAsia" w:cs="Arial"/>
          <w:kern w:val="0"/>
          <w:szCs w:val="24"/>
        </w:rPr>
      </w:pPr>
      <w:hyperlink r:id="rId14" w:tooltip="データ" w:history="1">
        <w:r w:rsidR="009C362C" w:rsidRPr="00A02086">
          <w:rPr>
            <w:rFonts w:asciiTheme="minorEastAsia" w:hAnsiTheme="minorEastAsia" w:cs="Arial"/>
            <w:kern w:val="0"/>
            <w:szCs w:val="24"/>
          </w:rPr>
          <w:t>データ</w:t>
        </w:r>
      </w:hyperlink>
      <w:r w:rsidR="009C362C" w:rsidRPr="00A02086">
        <w:rPr>
          <w:rFonts w:asciiTheme="minorEastAsia" w:hAnsiTheme="minorEastAsia" w:cs="Times New Roman"/>
          <w:i/>
          <w:iCs/>
          <w:kern w:val="0"/>
          <w:szCs w:val="24"/>
          <w:lang w:val="en"/>
        </w:rPr>
        <w:t>x</w:t>
      </w:r>
      <w:r w:rsidR="009C362C" w:rsidRPr="00A02086">
        <w:rPr>
          <w:rFonts w:asciiTheme="minorEastAsia" w:hAnsiTheme="minorEastAsia" w:cs="Times New Roman"/>
          <w:kern w:val="0"/>
          <w:szCs w:val="24"/>
          <w:vertAlign w:val="subscript"/>
          <w:lang w:val="en"/>
        </w:rPr>
        <w:t>1</w:t>
      </w:r>
      <w:r w:rsidR="009C362C" w:rsidRPr="00A02086">
        <w:rPr>
          <w:rFonts w:asciiTheme="minorEastAsia" w:hAnsiTheme="minorEastAsia" w:cs="Times New Roman"/>
          <w:kern w:val="0"/>
          <w:szCs w:val="24"/>
          <w:lang w:val="en"/>
        </w:rPr>
        <w:t>,</w:t>
      </w:r>
      <w:r w:rsidR="009C362C" w:rsidRPr="00A02086">
        <w:rPr>
          <w:rFonts w:asciiTheme="minorEastAsia" w:hAnsiTheme="minorEastAsia" w:cs="Times New Roman"/>
          <w:i/>
          <w:iCs/>
          <w:kern w:val="0"/>
          <w:szCs w:val="24"/>
          <w:lang w:val="en"/>
        </w:rPr>
        <w:t>x</w:t>
      </w:r>
      <w:r w:rsidR="009C362C" w:rsidRPr="00A02086">
        <w:rPr>
          <w:rFonts w:asciiTheme="minorEastAsia" w:hAnsiTheme="minorEastAsia" w:cs="Times New Roman"/>
          <w:kern w:val="0"/>
          <w:szCs w:val="24"/>
          <w:vertAlign w:val="subscript"/>
          <w:lang w:val="en"/>
        </w:rPr>
        <w:t>2</w:t>
      </w:r>
      <w:r w:rsidR="009C362C" w:rsidRPr="00A02086">
        <w:rPr>
          <w:rFonts w:asciiTheme="minorEastAsia" w:hAnsiTheme="minorEastAsia" w:cs="Times New Roman"/>
          <w:kern w:val="0"/>
          <w:szCs w:val="24"/>
          <w:lang w:val="en"/>
        </w:rPr>
        <w:t>, …,</w:t>
      </w:r>
      <w:r w:rsidR="009C362C" w:rsidRPr="00A02086">
        <w:rPr>
          <w:rFonts w:asciiTheme="minorEastAsia" w:hAnsiTheme="minorEastAsia" w:cs="Times New Roman"/>
          <w:i/>
          <w:iCs/>
          <w:kern w:val="0"/>
          <w:szCs w:val="24"/>
          <w:lang w:val="en"/>
        </w:rPr>
        <w:t>x</w:t>
      </w:r>
      <w:r w:rsidR="009C362C" w:rsidRPr="00A02086">
        <w:rPr>
          <w:rFonts w:asciiTheme="minorEastAsia" w:hAnsiTheme="minorEastAsia" w:cs="Times New Roman"/>
          <w:i/>
          <w:iCs/>
          <w:kern w:val="0"/>
          <w:szCs w:val="24"/>
          <w:vertAlign w:val="subscript"/>
          <w:lang w:val="en"/>
        </w:rPr>
        <w:t>n</w:t>
      </w:r>
      <w:r w:rsidR="009C362C" w:rsidRPr="00A02086">
        <w:rPr>
          <w:rFonts w:asciiTheme="minorEastAsia" w:hAnsiTheme="minorEastAsia" w:cs="Arial"/>
          <w:kern w:val="0"/>
          <w:szCs w:val="24"/>
        </w:rPr>
        <w:t>の</w:t>
      </w:r>
      <w:hyperlink r:id="rId15" w:tooltip="算術平均" w:history="1">
        <w:r w:rsidR="009C362C" w:rsidRPr="00A02086">
          <w:rPr>
            <w:rFonts w:asciiTheme="minorEastAsia" w:hAnsiTheme="minorEastAsia" w:cs="Arial"/>
            <w:kern w:val="0"/>
            <w:szCs w:val="24"/>
          </w:rPr>
          <w:t>平均値</w:t>
        </w:r>
      </w:hyperlink>
      <w:r w:rsidR="009C362C" w:rsidRPr="00A02086">
        <w:rPr>
          <w:rFonts w:asciiTheme="minorEastAsia" w:hAnsiTheme="minorEastAsia" w:cs="Arial"/>
          <w:kern w:val="0"/>
          <w:szCs w:val="24"/>
        </w:rPr>
        <w:t>からの</w:t>
      </w:r>
      <w:hyperlink r:id="rId16" w:tooltip="統計的ばらつき" w:history="1">
        <w:r w:rsidR="009C362C" w:rsidRPr="00A02086">
          <w:rPr>
            <w:rFonts w:asciiTheme="minorEastAsia" w:hAnsiTheme="minorEastAsia" w:cs="Arial"/>
            <w:kern w:val="0"/>
            <w:szCs w:val="24"/>
          </w:rPr>
          <w:t>散らばり具合</w:t>
        </w:r>
      </w:hyperlink>
      <w:r w:rsidR="009C362C" w:rsidRPr="00A02086">
        <w:rPr>
          <w:rFonts w:asciiTheme="minorEastAsia" w:hAnsiTheme="minorEastAsia" w:cs="Arial"/>
          <w:kern w:val="0"/>
          <w:szCs w:val="24"/>
        </w:rPr>
        <w:t>を数値にした標準偏差は、次の式で定義される</w:t>
      </w:r>
      <w:r w:rsidR="009C362C">
        <w:rPr>
          <w:rFonts w:asciiTheme="minorEastAsia" w:hAnsiTheme="minorEastAsia" w:cs="Arial"/>
          <w:kern w:val="0"/>
          <w:szCs w:val="24"/>
        </w:rPr>
        <w:t>。</w:t>
      </w:r>
    </w:p>
    <w:p w14:paraId="7B5FB68D" w14:textId="77777777" w:rsidR="009C362C" w:rsidRPr="00A02086" w:rsidRDefault="009C362C" w:rsidP="009C362C">
      <w:pPr>
        <w:widowControl/>
        <w:shd w:val="clear" w:color="auto" w:fill="FFFFFF"/>
        <w:spacing w:before="120" w:after="120"/>
        <w:ind w:leftChars="100" w:left="206" w:firstLineChars="100" w:firstLine="206"/>
        <w:jc w:val="left"/>
        <w:rPr>
          <w:rFonts w:asciiTheme="minorEastAsia" w:hAnsiTheme="minorEastAsia" w:cs="Arial"/>
          <w:kern w:val="0"/>
          <w:szCs w:val="24"/>
        </w:rPr>
      </w:pPr>
      <w:r>
        <w:rPr>
          <w:noProof/>
        </w:rPr>
        <mc:AlternateContent>
          <mc:Choice Requires="wps">
            <w:drawing>
              <wp:inline distT="0" distB="0" distL="0" distR="0" wp14:anchorId="2D8DA77E" wp14:editId="2E5F5B86">
                <wp:extent cx="304800" cy="304800"/>
                <wp:effectExtent l="0" t="0" r="0" b="0"/>
                <wp:docPr id="47" name="AutoShape 3" descr="{\displaystyle s={\sqrt {{\frac {1}{n}}\textstyle \sum \limits _{i=1}^{n}(x_{i}-{\overline {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ECF3A" id="AutoShape 3" o:spid="_x0000_s1026" alt="{\displaystyle s={\sqrt {{\frac {1}{n}}\textstyle \sum \limits _{i=1}^{n}(x_{i}-{\overline {x}})^{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sPfUjwoDAAAoBgAADgAAAAAAAAAAAAAAAAAuAgAAZHJzL2Uyb0RvYy54bWxQ&#10;SwECLQAUAAYACAAAACEATKDpLNgAAAADAQAADwAAAAAAAAAAAAAAAABkBQAAZHJzL2Rvd25yZXYu&#10;eG1sUEsFBgAAAAAEAAQA8wAAAGkGAAAAAA==&#10;" filled="f" stroked="f">
                <o:lock v:ext="edit" aspectratio="t"/>
                <w10:anchorlock/>
              </v:rect>
            </w:pict>
          </mc:Fallback>
        </mc:AlternateContent>
      </w:r>
      <w:r>
        <w:rPr>
          <w:rFonts w:asciiTheme="minorEastAsia" w:hAnsiTheme="minorEastAsia" w:cs="Arial"/>
          <w:noProof/>
          <w:kern w:val="0"/>
          <w:szCs w:val="24"/>
        </w:rPr>
        <w:drawing>
          <wp:inline distT="0" distB="0" distL="0" distR="0" wp14:anchorId="1B46F9DA" wp14:editId="0CEBCF54">
            <wp:extent cx="1809750" cy="64770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14:paraId="21EB4A5E" w14:textId="77777777" w:rsidR="009C362C" w:rsidRPr="00A02086" w:rsidRDefault="009C362C" w:rsidP="009C362C">
      <w:pPr>
        <w:widowControl/>
        <w:shd w:val="clear" w:color="auto" w:fill="F8F9FA"/>
        <w:spacing w:line="336" w:lineRule="atLeast"/>
        <w:ind w:left="336"/>
        <w:jc w:val="left"/>
        <w:rPr>
          <w:rFonts w:ascii="Arial" w:eastAsia="ＭＳ Ｐゴシック" w:hAnsi="Arial" w:cs="Arial"/>
          <w:color w:val="202122"/>
          <w:kern w:val="0"/>
          <w:sz w:val="20"/>
          <w:szCs w:val="20"/>
        </w:rPr>
      </w:pPr>
      <w:r w:rsidRPr="00A02086">
        <w:rPr>
          <w:rFonts w:asciiTheme="minorEastAsia" w:hAnsiTheme="minorEastAsia" w:cs="Tahoma"/>
          <w:color w:val="202122"/>
          <w:kern w:val="0"/>
          <w:szCs w:val="24"/>
        </w:rPr>
        <w:t>標準偏差をσとおくと、平均値からプラスマイナスして以下の「信頼区間」の範囲内に収まるデータの割合は、以下の「信頼度」</w:t>
      </w:r>
      <w:r>
        <w:rPr>
          <w:rFonts w:asciiTheme="minorEastAsia" w:hAnsiTheme="minorEastAsia" w:cs="Tahoma" w:hint="eastAsia"/>
          <w:color w:val="202122"/>
          <w:kern w:val="0"/>
          <w:szCs w:val="24"/>
        </w:rPr>
        <w:t>で</w:t>
      </w:r>
      <w:r w:rsidRPr="00A02086">
        <w:rPr>
          <w:rFonts w:asciiTheme="minorEastAsia" w:hAnsiTheme="minorEastAsia" w:cs="Tahoma"/>
          <w:color w:val="202122"/>
          <w:kern w:val="0"/>
          <w:szCs w:val="24"/>
        </w:rPr>
        <w:t>表される（その範囲に収まらないデータの割合は、「不信頼度」で表される</w:t>
      </w:r>
      <w:r>
        <w:rPr>
          <w:rFonts w:asciiTheme="minorEastAsia" w:hAnsiTheme="minorEastAsia" w:cs="Tahoma"/>
          <w:color w:val="202122"/>
          <w:kern w:val="0"/>
          <w:szCs w:val="24"/>
        </w:rPr>
        <w:t>）</w:t>
      </w:r>
      <w:r w:rsidRPr="00A02086">
        <w:rPr>
          <w:rFonts w:asciiTheme="minorEastAsia" w:hAnsiTheme="minorEastAsia" w:cs="Tahoma"/>
          <w:color w:val="202122"/>
          <w:kern w:val="0"/>
          <w:szCs w:val="24"/>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54"/>
        <w:gridCol w:w="1202"/>
        <w:gridCol w:w="1202"/>
        <w:gridCol w:w="948"/>
      </w:tblGrid>
      <w:tr w:rsidR="009C362C" w:rsidRPr="00A02086" w14:paraId="1F0F15D7" w14:textId="77777777" w:rsidTr="00EE2DFD">
        <w:trPr>
          <w:trHeight w:val="490"/>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A90B776" w14:textId="77777777" w:rsidR="009C362C" w:rsidRPr="00A02086" w:rsidRDefault="009C362C" w:rsidP="00EE2DFD">
            <w:pPr>
              <w:widowControl/>
              <w:spacing w:before="240" w:after="240"/>
              <w:jc w:val="center"/>
              <w:rPr>
                <w:rFonts w:ascii="Arial" w:eastAsia="ＭＳ Ｐゴシック" w:hAnsi="Arial" w:cs="Arial"/>
                <w:b/>
                <w:bCs/>
                <w:color w:val="202122"/>
                <w:kern w:val="0"/>
                <w:szCs w:val="24"/>
              </w:rPr>
            </w:pPr>
            <w:r w:rsidRPr="00A02086">
              <w:rPr>
                <w:rFonts w:ascii="Arial" w:eastAsia="ＭＳ Ｐゴシック" w:hAnsi="Arial" w:cs="Arial"/>
                <w:b/>
                <w:bCs/>
                <w:color w:val="202122"/>
                <w:kern w:val="0"/>
                <w:szCs w:val="24"/>
              </w:rPr>
              <w:t>信頼区間</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CDB165C" w14:textId="77777777" w:rsidR="009C362C" w:rsidRPr="00A02086" w:rsidRDefault="009C362C" w:rsidP="00EE2DFD">
            <w:pPr>
              <w:widowControl/>
              <w:snapToGrid w:val="0"/>
              <w:spacing w:before="240" w:after="240" w:line="96" w:lineRule="auto"/>
              <w:jc w:val="center"/>
              <w:rPr>
                <w:rFonts w:ascii="Arial" w:eastAsia="ＭＳ Ｐゴシック" w:hAnsi="Arial" w:cs="Arial"/>
                <w:b/>
                <w:bCs/>
                <w:color w:val="202122"/>
                <w:kern w:val="0"/>
                <w:szCs w:val="24"/>
              </w:rPr>
            </w:pPr>
            <w:r w:rsidRPr="00A02086">
              <w:rPr>
                <w:rFonts w:ascii="Arial" w:eastAsia="ＭＳ Ｐゴシック" w:hAnsi="Arial" w:cs="Arial"/>
                <w:b/>
                <w:bCs/>
                <w:color w:val="202122"/>
                <w:kern w:val="0"/>
                <w:szCs w:val="24"/>
              </w:rPr>
              <w:t>信頼度</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BF5C838" w14:textId="77777777" w:rsidR="009C362C" w:rsidRPr="00A02086" w:rsidRDefault="009C362C" w:rsidP="00EE2DFD">
            <w:pPr>
              <w:widowControl/>
              <w:snapToGrid w:val="0"/>
              <w:spacing w:before="240" w:after="240" w:line="96" w:lineRule="auto"/>
              <w:jc w:val="center"/>
              <w:rPr>
                <w:rFonts w:ascii="Arial" w:eastAsia="ＭＳ Ｐゴシック" w:hAnsi="Arial" w:cs="Arial"/>
                <w:b/>
                <w:bCs/>
                <w:color w:val="202122"/>
                <w:kern w:val="0"/>
                <w:szCs w:val="24"/>
              </w:rPr>
            </w:pPr>
            <w:r w:rsidRPr="00A02086">
              <w:rPr>
                <w:rFonts w:ascii="Arial" w:eastAsia="ＭＳ Ｐゴシック" w:hAnsi="Arial" w:cs="Arial"/>
                <w:b/>
                <w:bCs/>
                <w:color w:val="202122"/>
                <w:kern w:val="0"/>
                <w:szCs w:val="24"/>
              </w:rPr>
              <w:t>不信頼度</w:t>
            </w:r>
          </w:p>
        </w:tc>
      </w:tr>
      <w:tr w:rsidR="009C362C" w:rsidRPr="00A02086" w14:paraId="56D2A261" w14:textId="77777777" w:rsidTr="00EE2DFD">
        <w:trPr>
          <w:trHeight w:val="520"/>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0C59892" w14:textId="77777777" w:rsidR="009C362C" w:rsidRPr="00A02086" w:rsidRDefault="009C362C" w:rsidP="00EE2DFD">
            <w:pPr>
              <w:widowControl/>
              <w:spacing w:before="240" w:after="240"/>
              <w:jc w:val="left"/>
              <w:rPr>
                <w:rFonts w:ascii="Arial" w:eastAsia="ＭＳ Ｐゴシック" w:hAnsi="Arial" w:cs="Arial"/>
                <w:b/>
                <w:bCs/>
                <w:color w:val="202122"/>
                <w:kern w:val="0"/>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7AED1C" w14:textId="77777777" w:rsidR="009C362C" w:rsidRPr="00A02086" w:rsidRDefault="009C362C" w:rsidP="00EE2DFD">
            <w:pPr>
              <w:widowControl/>
              <w:snapToGrid w:val="0"/>
              <w:spacing w:before="240" w:after="240" w:line="96" w:lineRule="auto"/>
              <w:jc w:val="center"/>
              <w:rPr>
                <w:rFonts w:ascii="Arial" w:eastAsia="ＭＳ Ｐゴシック" w:hAnsi="Arial" w:cs="Arial"/>
                <w:b/>
                <w:bCs/>
                <w:color w:val="202122"/>
                <w:kern w:val="0"/>
                <w:szCs w:val="24"/>
              </w:rPr>
            </w:pPr>
            <w:r w:rsidRPr="00A02086">
              <w:rPr>
                <w:rFonts w:ascii="Arial" w:eastAsia="ＭＳ Ｐゴシック" w:hAnsi="Arial" w:cs="Arial"/>
                <w:b/>
                <w:bCs/>
                <w:color w:val="202122"/>
                <w:kern w:val="0"/>
                <w:szCs w:val="24"/>
              </w:rPr>
              <w:t>百分率</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1E71D5F" w14:textId="77777777" w:rsidR="009C362C" w:rsidRPr="00A02086" w:rsidRDefault="009C362C" w:rsidP="00EE2DFD">
            <w:pPr>
              <w:widowControl/>
              <w:snapToGrid w:val="0"/>
              <w:spacing w:before="240" w:after="240" w:line="96" w:lineRule="auto"/>
              <w:jc w:val="center"/>
              <w:rPr>
                <w:rFonts w:ascii="Arial" w:eastAsia="ＭＳ Ｐゴシック" w:hAnsi="Arial" w:cs="Arial"/>
                <w:b/>
                <w:bCs/>
                <w:color w:val="202122"/>
                <w:kern w:val="0"/>
                <w:szCs w:val="24"/>
              </w:rPr>
            </w:pPr>
            <w:r w:rsidRPr="00A02086">
              <w:rPr>
                <w:rFonts w:ascii="Arial" w:eastAsia="ＭＳ Ｐゴシック" w:hAnsi="Arial" w:cs="Arial"/>
                <w:b/>
                <w:bCs/>
                <w:color w:val="202122"/>
                <w:kern w:val="0"/>
                <w:szCs w:val="24"/>
              </w:rPr>
              <w:t>百分率</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5E82F4" w14:textId="77777777" w:rsidR="009C362C" w:rsidRPr="00A02086" w:rsidRDefault="009C362C" w:rsidP="00EE2DFD">
            <w:pPr>
              <w:widowControl/>
              <w:snapToGrid w:val="0"/>
              <w:spacing w:before="240" w:after="240" w:line="96" w:lineRule="auto"/>
              <w:jc w:val="center"/>
              <w:rPr>
                <w:rFonts w:ascii="Arial" w:eastAsia="ＭＳ Ｐゴシック" w:hAnsi="Arial" w:cs="Arial"/>
                <w:b/>
                <w:bCs/>
                <w:color w:val="202122"/>
                <w:kern w:val="0"/>
                <w:szCs w:val="24"/>
              </w:rPr>
            </w:pPr>
            <w:r w:rsidRPr="00A02086">
              <w:rPr>
                <w:rFonts w:ascii="Arial" w:eastAsia="ＭＳ Ｐゴシック" w:hAnsi="Arial" w:cs="Arial"/>
                <w:b/>
                <w:bCs/>
                <w:color w:val="202122"/>
                <w:kern w:val="0"/>
                <w:szCs w:val="24"/>
              </w:rPr>
              <w:t>分数</w:t>
            </w:r>
          </w:p>
        </w:tc>
      </w:tr>
      <w:tr w:rsidR="009C362C" w:rsidRPr="00A02086" w14:paraId="0A933D80" w14:textId="77777777" w:rsidTr="00EE2DF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AC57F9" w14:textId="77777777" w:rsidR="009C362C" w:rsidRPr="00A02086" w:rsidRDefault="009C362C" w:rsidP="00EE2DFD">
            <w:pPr>
              <w:widowControl/>
              <w:jc w:val="righ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0.674490</w:t>
            </w:r>
            <w:r w:rsidRPr="00A02086">
              <w:rPr>
                <w:rFonts w:ascii="Times New Roman" w:eastAsia="ＭＳ Ｐゴシック" w:hAnsi="Times New Roman" w:cs="Times New Roman"/>
                <w:i/>
                <w:iCs/>
                <w:color w:val="202122"/>
                <w:kern w:val="0"/>
                <w:szCs w:val="21"/>
                <w:lang w:val="en"/>
              </w:rPr>
              <w:t>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B7EB83"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D2C454"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C285C8"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 w:val="17"/>
                <w:szCs w:val="17"/>
              </w:rPr>
              <w:t>1</w:t>
            </w:r>
            <w:r w:rsidRPr="00A02086">
              <w:rPr>
                <w:rFonts w:ascii="Arial" w:eastAsia="ＭＳ Ｐゴシック" w:hAnsi="Arial" w:cs="Arial"/>
                <w:color w:val="202122"/>
                <w:kern w:val="0"/>
                <w:sz w:val="17"/>
                <w:szCs w:val="17"/>
                <w:bdr w:val="none" w:sz="0" w:space="0" w:color="auto" w:frame="1"/>
              </w:rPr>
              <w:t>/</w:t>
            </w:r>
            <w:r w:rsidRPr="00A02086">
              <w:rPr>
                <w:rFonts w:ascii="Arial" w:eastAsia="ＭＳ Ｐゴシック" w:hAnsi="Arial" w:cs="Arial"/>
                <w:color w:val="202122"/>
                <w:kern w:val="0"/>
                <w:sz w:val="17"/>
                <w:szCs w:val="17"/>
                <w:bdr w:val="single" w:sz="6" w:space="0" w:color="auto" w:frame="1"/>
              </w:rPr>
              <w:t>2</w:t>
            </w:r>
          </w:p>
        </w:tc>
      </w:tr>
      <w:tr w:rsidR="009C362C" w:rsidRPr="00A02086" w14:paraId="3793C61D" w14:textId="77777777" w:rsidTr="00EE2DF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AB03EF" w14:textId="77777777" w:rsidR="009C362C" w:rsidRPr="00A02086" w:rsidRDefault="009C362C" w:rsidP="00EE2DFD">
            <w:pPr>
              <w:widowControl/>
              <w:jc w:val="righ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1</w:t>
            </w:r>
            <w:r w:rsidRPr="00A02086">
              <w:rPr>
                <w:rFonts w:ascii="Times New Roman" w:eastAsia="ＭＳ Ｐゴシック" w:hAnsi="Times New Roman" w:cs="Times New Roman"/>
                <w:i/>
                <w:iCs/>
                <w:color w:val="202122"/>
                <w:kern w:val="0"/>
                <w:szCs w:val="21"/>
                <w:lang w:val="en"/>
              </w:rPr>
              <w:t>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C2B6A6"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68.2689492%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E5DB71"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31.7310508%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204F6D"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 w:val="17"/>
                <w:szCs w:val="17"/>
              </w:rPr>
              <w:t>1</w:t>
            </w:r>
            <w:r w:rsidRPr="00A02086">
              <w:rPr>
                <w:rFonts w:ascii="Arial" w:eastAsia="ＭＳ Ｐゴシック" w:hAnsi="Arial" w:cs="Arial"/>
                <w:color w:val="202122"/>
                <w:kern w:val="0"/>
                <w:sz w:val="17"/>
                <w:szCs w:val="17"/>
                <w:bdr w:val="none" w:sz="0" w:space="0" w:color="auto" w:frame="1"/>
              </w:rPr>
              <w:t>/</w:t>
            </w:r>
            <w:r w:rsidRPr="00A02086">
              <w:rPr>
                <w:rFonts w:ascii="Arial" w:eastAsia="ＭＳ Ｐゴシック" w:hAnsi="Arial" w:cs="Arial"/>
                <w:color w:val="202122"/>
                <w:kern w:val="0"/>
                <w:sz w:val="17"/>
                <w:szCs w:val="17"/>
                <w:bdr w:val="single" w:sz="6" w:space="0" w:color="auto" w:frame="1"/>
              </w:rPr>
              <w:t>3.1514872</w:t>
            </w:r>
          </w:p>
        </w:tc>
      </w:tr>
      <w:tr w:rsidR="009C362C" w:rsidRPr="00A02086" w14:paraId="5CB5CBDF" w14:textId="77777777" w:rsidTr="00EE2DF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24253F" w14:textId="77777777" w:rsidR="009C362C" w:rsidRPr="00A02086" w:rsidRDefault="009C362C" w:rsidP="00EE2DFD">
            <w:pPr>
              <w:widowControl/>
              <w:jc w:val="righ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1.959964</w:t>
            </w:r>
            <w:r w:rsidRPr="00A02086">
              <w:rPr>
                <w:rFonts w:ascii="Times New Roman" w:eastAsia="ＭＳ Ｐゴシック" w:hAnsi="Times New Roman" w:cs="Times New Roman"/>
                <w:i/>
                <w:iCs/>
                <w:color w:val="202122"/>
                <w:kern w:val="0"/>
                <w:szCs w:val="21"/>
                <w:lang w:val="en"/>
              </w:rPr>
              <w:t>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B5AC23"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99BB24"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AD3ACE"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 w:val="17"/>
                <w:szCs w:val="17"/>
              </w:rPr>
              <w:t>1</w:t>
            </w:r>
            <w:r w:rsidRPr="00A02086">
              <w:rPr>
                <w:rFonts w:ascii="Arial" w:eastAsia="ＭＳ Ｐゴシック" w:hAnsi="Arial" w:cs="Arial"/>
                <w:color w:val="202122"/>
                <w:kern w:val="0"/>
                <w:sz w:val="17"/>
                <w:szCs w:val="17"/>
                <w:bdr w:val="none" w:sz="0" w:space="0" w:color="auto" w:frame="1"/>
              </w:rPr>
              <w:t>/</w:t>
            </w:r>
            <w:r w:rsidRPr="00A02086">
              <w:rPr>
                <w:rFonts w:ascii="Arial" w:eastAsia="ＭＳ Ｐゴシック" w:hAnsi="Arial" w:cs="Arial"/>
                <w:color w:val="202122"/>
                <w:kern w:val="0"/>
                <w:sz w:val="17"/>
                <w:szCs w:val="17"/>
                <w:bdr w:val="single" w:sz="6" w:space="0" w:color="auto" w:frame="1"/>
              </w:rPr>
              <w:t>20</w:t>
            </w:r>
          </w:p>
        </w:tc>
      </w:tr>
      <w:tr w:rsidR="009C362C" w:rsidRPr="00A02086" w14:paraId="6779D1AA" w14:textId="77777777" w:rsidTr="00EE2DF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5B1E73" w14:textId="77777777" w:rsidR="009C362C" w:rsidRPr="00A02086" w:rsidRDefault="009C362C" w:rsidP="00EE2DFD">
            <w:pPr>
              <w:widowControl/>
              <w:jc w:val="righ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2</w:t>
            </w:r>
            <w:r w:rsidRPr="00A02086">
              <w:rPr>
                <w:rFonts w:ascii="Times New Roman" w:eastAsia="ＭＳ Ｐゴシック" w:hAnsi="Times New Roman" w:cs="Times New Roman"/>
                <w:i/>
                <w:iCs/>
                <w:color w:val="202122"/>
                <w:kern w:val="0"/>
                <w:szCs w:val="21"/>
                <w:lang w:val="en"/>
              </w:rPr>
              <w:t>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AC05F5"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95.4499736%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D5C3A"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4.5500264%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77D6D7"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 w:val="17"/>
                <w:szCs w:val="17"/>
              </w:rPr>
              <w:t>1</w:t>
            </w:r>
            <w:r w:rsidRPr="00A02086">
              <w:rPr>
                <w:rFonts w:ascii="Arial" w:eastAsia="ＭＳ Ｐゴシック" w:hAnsi="Arial" w:cs="Arial"/>
                <w:color w:val="202122"/>
                <w:kern w:val="0"/>
                <w:sz w:val="17"/>
                <w:szCs w:val="17"/>
                <w:bdr w:val="none" w:sz="0" w:space="0" w:color="auto" w:frame="1"/>
              </w:rPr>
              <w:t>/</w:t>
            </w:r>
            <w:r w:rsidRPr="00A02086">
              <w:rPr>
                <w:rFonts w:ascii="Arial" w:eastAsia="ＭＳ Ｐゴシック" w:hAnsi="Arial" w:cs="Arial"/>
                <w:color w:val="202122"/>
                <w:kern w:val="0"/>
                <w:sz w:val="17"/>
                <w:szCs w:val="17"/>
                <w:bdr w:val="single" w:sz="6" w:space="0" w:color="auto" w:frame="1"/>
              </w:rPr>
              <w:t>21.977895</w:t>
            </w:r>
          </w:p>
        </w:tc>
      </w:tr>
      <w:tr w:rsidR="009C362C" w:rsidRPr="00A02086" w14:paraId="678332E4" w14:textId="77777777" w:rsidTr="00EE2DF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6D659C" w14:textId="77777777" w:rsidR="009C362C" w:rsidRPr="00A02086" w:rsidRDefault="009C362C" w:rsidP="00EE2DFD">
            <w:pPr>
              <w:widowControl/>
              <w:jc w:val="righ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2.575829</w:t>
            </w:r>
            <w:r w:rsidRPr="00A02086">
              <w:rPr>
                <w:rFonts w:ascii="Times New Roman" w:eastAsia="ＭＳ Ｐゴシック" w:hAnsi="Times New Roman" w:cs="Times New Roman"/>
                <w:i/>
                <w:iCs/>
                <w:color w:val="202122"/>
                <w:kern w:val="0"/>
                <w:szCs w:val="21"/>
                <w:lang w:val="en"/>
              </w:rPr>
              <w:t>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DFFF5E"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548FFE"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24CAC1"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 w:val="17"/>
                <w:szCs w:val="17"/>
              </w:rPr>
              <w:t>1</w:t>
            </w:r>
            <w:r w:rsidRPr="00A02086">
              <w:rPr>
                <w:rFonts w:ascii="Arial" w:eastAsia="ＭＳ Ｐゴシック" w:hAnsi="Arial" w:cs="Arial"/>
                <w:color w:val="202122"/>
                <w:kern w:val="0"/>
                <w:sz w:val="17"/>
                <w:szCs w:val="17"/>
                <w:bdr w:val="none" w:sz="0" w:space="0" w:color="auto" w:frame="1"/>
              </w:rPr>
              <w:t>/</w:t>
            </w:r>
            <w:r w:rsidRPr="00A02086">
              <w:rPr>
                <w:rFonts w:ascii="Arial" w:eastAsia="ＭＳ Ｐゴシック" w:hAnsi="Arial" w:cs="Arial"/>
                <w:color w:val="202122"/>
                <w:kern w:val="0"/>
                <w:sz w:val="17"/>
                <w:szCs w:val="17"/>
                <w:bdr w:val="single" w:sz="6" w:space="0" w:color="auto" w:frame="1"/>
              </w:rPr>
              <w:t>100</w:t>
            </w:r>
          </w:p>
        </w:tc>
      </w:tr>
      <w:tr w:rsidR="009C362C" w:rsidRPr="00A02086" w14:paraId="69494A3C" w14:textId="77777777" w:rsidTr="00EE2DF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443A6F" w14:textId="77777777" w:rsidR="009C362C" w:rsidRPr="00A02086" w:rsidRDefault="009C362C" w:rsidP="00EE2DFD">
            <w:pPr>
              <w:widowControl/>
              <w:jc w:val="righ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3</w:t>
            </w:r>
            <w:r w:rsidRPr="00A02086">
              <w:rPr>
                <w:rFonts w:ascii="Times New Roman" w:eastAsia="ＭＳ Ｐゴシック" w:hAnsi="Times New Roman" w:cs="Times New Roman"/>
                <w:i/>
                <w:iCs/>
                <w:color w:val="202122"/>
                <w:kern w:val="0"/>
                <w:szCs w:val="21"/>
                <w:lang w:val="en"/>
              </w:rPr>
              <w:t>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82737D"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99.7300204%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9560F9"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Cs w:val="24"/>
              </w:rPr>
              <w:t>0.2699796%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B5ECC7" w14:textId="77777777" w:rsidR="009C362C" w:rsidRPr="00A02086" w:rsidRDefault="009C362C" w:rsidP="00EE2DFD">
            <w:pPr>
              <w:widowControl/>
              <w:jc w:val="left"/>
              <w:rPr>
                <w:rFonts w:ascii="Arial" w:eastAsia="ＭＳ Ｐゴシック" w:hAnsi="Arial" w:cs="Arial"/>
                <w:color w:val="202122"/>
                <w:kern w:val="0"/>
                <w:szCs w:val="24"/>
              </w:rPr>
            </w:pPr>
            <w:r w:rsidRPr="00A02086">
              <w:rPr>
                <w:rFonts w:ascii="Arial" w:eastAsia="ＭＳ Ｐゴシック" w:hAnsi="Arial" w:cs="Arial"/>
                <w:color w:val="202122"/>
                <w:kern w:val="0"/>
                <w:sz w:val="17"/>
                <w:szCs w:val="17"/>
              </w:rPr>
              <w:t>1</w:t>
            </w:r>
            <w:r w:rsidRPr="00A02086">
              <w:rPr>
                <w:rFonts w:ascii="Arial" w:eastAsia="ＭＳ Ｐゴシック" w:hAnsi="Arial" w:cs="Arial"/>
                <w:color w:val="202122"/>
                <w:kern w:val="0"/>
                <w:sz w:val="17"/>
                <w:szCs w:val="17"/>
                <w:bdr w:val="none" w:sz="0" w:space="0" w:color="auto" w:frame="1"/>
              </w:rPr>
              <w:t>/</w:t>
            </w:r>
            <w:r w:rsidRPr="00A02086">
              <w:rPr>
                <w:rFonts w:ascii="Arial" w:eastAsia="ＭＳ Ｐゴシック" w:hAnsi="Arial" w:cs="Arial"/>
                <w:color w:val="202122"/>
                <w:kern w:val="0"/>
                <w:sz w:val="17"/>
                <w:szCs w:val="17"/>
                <w:bdr w:val="single" w:sz="6" w:space="0" w:color="auto" w:frame="1"/>
              </w:rPr>
              <w:t>370.398</w:t>
            </w:r>
          </w:p>
        </w:tc>
      </w:tr>
    </w:tbl>
    <w:p w14:paraId="3BB1C5A0" w14:textId="77777777" w:rsidR="009C362C" w:rsidRDefault="009C362C" w:rsidP="009C362C">
      <w:pPr>
        <w:ind w:leftChars="21" w:left="43"/>
        <w:rPr>
          <w:color w:val="000000" w:themeColor="text1"/>
        </w:rPr>
      </w:pPr>
      <w:r>
        <w:rPr>
          <w:color w:val="000000" w:themeColor="text1"/>
        </w:rPr>
        <w:t xml:space="preserve">　つまり、平均値より標準偏差１つ分以上隔たりがあるデータの割合は</w:t>
      </w:r>
      <w:r>
        <w:rPr>
          <w:color w:val="000000" w:themeColor="text1"/>
        </w:rPr>
        <w:t>31.731058</w:t>
      </w:r>
      <w:r>
        <w:rPr>
          <w:color w:val="000000" w:themeColor="text1"/>
        </w:rPr>
        <w:t>％（この中には平均より小さいデータも大きいデータもあるので、標準偏差１つ分以上大きいデータはその半分）、標準偏差２つ分以上隔たりがあるデータの割合は</w:t>
      </w:r>
      <w:r>
        <w:rPr>
          <w:color w:val="000000" w:themeColor="text1"/>
        </w:rPr>
        <w:t>4.5500264</w:t>
      </w:r>
      <w:r>
        <w:rPr>
          <w:color w:val="000000" w:themeColor="text1"/>
        </w:rPr>
        <w:t>％（同上）となる。</w:t>
      </w:r>
      <w:r>
        <w:rPr>
          <w:color w:val="000000" w:themeColor="text1"/>
        </w:rPr>
        <w:br/>
      </w:r>
    </w:p>
    <w:p w14:paraId="2DF75F32" w14:textId="77777777" w:rsidR="009C362C" w:rsidRDefault="009C362C" w:rsidP="009C362C">
      <w:pPr>
        <w:ind w:leftChars="21" w:left="43"/>
        <w:rPr>
          <w:color w:val="000000" w:themeColor="text1"/>
        </w:rPr>
      </w:pPr>
      <w:r>
        <w:rPr>
          <w:color w:val="000000" w:themeColor="text1"/>
        </w:rPr>
        <w:t>イ　対数標準偏差</w:t>
      </w:r>
    </w:p>
    <w:p w14:paraId="060BD35D" w14:textId="77777777" w:rsidR="009C362C" w:rsidRDefault="009C362C" w:rsidP="009C362C">
      <w:pPr>
        <w:ind w:leftChars="21" w:left="43"/>
        <w:rPr>
          <w:color w:val="000000" w:themeColor="text1"/>
        </w:rPr>
      </w:pPr>
      <w:r>
        <w:rPr>
          <w:color w:val="000000" w:themeColor="text1"/>
        </w:rPr>
        <w:t xml:space="preserve">　人の身長や体重は、少なくとも平均値とのずれが標準偏差２つ程度で収まる場合は、正規分布に比較的近く、平均より標準偏差ｎ個分大きい値の割合も、標準偏差ｎ個分小さい値の割合も、あまり変わらない。</w:t>
      </w:r>
    </w:p>
    <w:p w14:paraId="0EB8543B" w14:textId="77777777" w:rsidR="009C362C" w:rsidRPr="002E7CA1" w:rsidRDefault="009C362C" w:rsidP="009C362C">
      <w:pPr>
        <w:ind w:leftChars="21" w:left="43"/>
        <w:rPr>
          <w:color w:val="000000" w:themeColor="text1"/>
        </w:rPr>
      </w:pPr>
      <w:r>
        <w:rPr>
          <w:color w:val="000000" w:themeColor="text1"/>
        </w:rPr>
        <w:t xml:space="preserve">　もっとも、人口の都道府県別順位や、各人の</w:t>
      </w:r>
      <w:r>
        <w:rPr>
          <w:color w:val="000000" w:themeColor="text1"/>
        </w:rPr>
        <w:lastRenderedPageBreak/>
        <w:t>所得分布は、必ずしも正規分布どおりにはなっていない。例えば、所得がゼロより少ないことはあまりないが、平均所得の３倍や４倍の所得を稼ぐ人は少なくない。</w:t>
      </w:r>
    </w:p>
    <w:p w14:paraId="50840CD0" w14:textId="77777777" w:rsidR="009C362C" w:rsidRDefault="009C362C" w:rsidP="009C362C">
      <w:pPr>
        <w:ind w:leftChars="21" w:left="43" w:firstLineChars="100" w:firstLine="206"/>
        <w:rPr>
          <w:color w:val="000000" w:themeColor="text1"/>
        </w:rPr>
      </w:pPr>
      <w:r>
        <w:rPr>
          <w:color w:val="000000" w:themeColor="text1"/>
        </w:rPr>
        <w:t>対数標準偏差は、このように、正規分布とは言い難く、偏りのある分布を適切に表現するのに適している。</w:t>
      </w:r>
    </w:p>
    <w:p w14:paraId="74EC55EF" w14:textId="77777777" w:rsidR="009C362C" w:rsidRDefault="009C362C" w:rsidP="009C362C">
      <w:pPr>
        <w:ind w:leftChars="21" w:left="43" w:firstLineChars="100" w:firstLine="206"/>
        <w:rPr>
          <w:color w:val="000000" w:themeColor="text1"/>
        </w:rPr>
      </w:pPr>
      <w:r>
        <w:rPr>
          <w:color w:val="000000" w:themeColor="text1"/>
        </w:rPr>
        <w:t>正規分布の確率密度関数（平均値が</w:t>
      </w:r>
      <w:r>
        <w:rPr>
          <w:color w:val="000000" w:themeColor="text1"/>
        </w:rPr>
        <w:t>μ</w:t>
      </w:r>
      <w:r>
        <w:rPr>
          <w:color w:val="000000" w:themeColor="text1"/>
        </w:rPr>
        <w:t>、標準偏差が</w:t>
      </w:r>
      <w:r>
        <w:rPr>
          <w:color w:val="000000" w:themeColor="text1"/>
        </w:rPr>
        <w:t>σ</w:t>
      </w:r>
      <w:r>
        <w:rPr>
          <w:color w:val="000000" w:themeColor="text1"/>
        </w:rPr>
        <w:t>のとき値がｙとなる確率）は以下の式で表される。</w:t>
      </w:r>
    </w:p>
    <w:p w14:paraId="29A9B1E1" w14:textId="77777777" w:rsidR="009C362C" w:rsidRDefault="009C362C" w:rsidP="009C362C">
      <w:pPr>
        <w:ind w:leftChars="21" w:left="43"/>
        <w:rPr>
          <w:rStyle w:val="delimsizing"/>
          <w:rFonts w:ascii="KaTeX_Size3" w:hAnsi="KaTeX_Size3" w:cs="Times New Roman" w:hint="eastAsia"/>
          <w:color w:val="212C36"/>
          <w:sz w:val="29"/>
          <w:szCs w:val="29"/>
        </w:rPr>
      </w:pPr>
      <w:r>
        <w:rPr>
          <w:color w:val="000000" w:themeColor="text1"/>
        </w:rPr>
        <w:t xml:space="preserve">　</w:t>
      </w:r>
      <w:r>
        <w:rPr>
          <w:rStyle w:val="mord"/>
          <w:rFonts w:ascii="KaTeX_Math" w:hAnsi="KaTeX_Math" w:cs="Times New Roman"/>
          <w:i/>
          <w:iCs/>
          <w:color w:val="212C36"/>
          <w:sz w:val="29"/>
          <w:szCs w:val="29"/>
        </w:rPr>
        <w:t>g</w:t>
      </w:r>
      <w:r>
        <w:rPr>
          <w:rStyle w:val="mopen"/>
          <w:rFonts w:ascii="Times New Roman" w:hAnsi="Times New Roman" w:cs="Times New Roman"/>
          <w:color w:val="212C36"/>
          <w:sz w:val="29"/>
          <w:szCs w:val="29"/>
        </w:rPr>
        <w:t>(</w:t>
      </w:r>
      <w:r>
        <w:rPr>
          <w:rStyle w:val="mord"/>
          <w:rFonts w:ascii="KaTeX_Math" w:hAnsi="KaTeX_Math" w:cs="Times New Roman"/>
          <w:i/>
          <w:iCs/>
          <w:color w:val="212C36"/>
          <w:sz w:val="29"/>
          <w:szCs w:val="29"/>
        </w:rPr>
        <w:t>y</w:t>
      </w:r>
      <w:r>
        <w:rPr>
          <w:rStyle w:val="mclose"/>
          <w:rFonts w:ascii="Times New Roman" w:hAnsi="Times New Roman" w:cs="Times New Roman"/>
          <w:color w:val="212C36"/>
          <w:sz w:val="29"/>
          <w:szCs w:val="29"/>
        </w:rPr>
        <w:t>)</w:t>
      </w:r>
      <w:r>
        <w:rPr>
          <w:rStyle w:val="mrel"/>
          <w:rFonts w:ascii="Times New Roman" w:hAnsi="Times New Roman" w:cs="Times New Roman"/>
          <w:color w:val="212C36"/>
          <w:sz w:val="29"/>
          <w:szCs w:val="29"/>
        </w:rPr>
        <w:t>=</w:t>
      </w:r>
      <w:r>
        <w:rPr>
          <w:rStyle w:val="mrel"/>
          <w:rFonts w:ascii="Times New Roman" w:hAnsi="Times New Roman" w:cs="Times New Roman"/>
          <w:color w:val="212C36"/>
          <w:sz w:val="29"/>
          <w:szCs w:val="29"/>
        </w:rPr>
        <w:t>（</w:t>
      </w:r>
      <w:r>
        <w:rPr>
          <w:rStyle w:val="mord"/>
          <w:rFonts w:ascii="Times New Roman" w:hAnsi="Times New Roman" w:cs="Times New Roman"/>
          <w:color w:val="212C36"/>
          <w:sz w:val="29"/>
          <w:szCs w:val="29"/>
        </w:rPr>
        <w:t>1/</w:t>
      </w:r>
      <m:oMath>
        <m:rad>
          <m:radPr>
            <m:degHide m:val="1"/>
            <m:ctrlPr>
              <w:rPr>
                <w:rStyle w:val="mord"/>
                <w:rFonts w:ascii="Cambria Math" w:hAnsi="Cambria Math" w:cs="Times New Roman"/>
                <w:color w:val="212C36"/>
                <w:sz w:val="29"/>
                <w:szCs w:val="29"/>
              </w:rPr>
            </m:ctrlPr>
          </m:radPr>
          <m:deg/>
          <m:e>
            <m:r>
              <m:rPr>
                <m:sty m:val="p"/>
              </m:rPr>
              <w:rPr>
                <w:rStyle w:val="mord"/>
                <w:rFonts w:ascii="Cambria Math" w:hAnsi="Cambria Math" w:cs="Times New Roman"/>
                <w:color w:val="212C36"/>
                <w:sz w:val="29"/>
                <w:szCs w:val="29"/>
              </w:rPr>
              <m:t>2π</m:t>
            </m:r>
            <m:r>
              <m:rPr>
                <m:sty m:val="p"/>
              </m:rPr>
              <w:rPr>
                <w:rStyle w:val="vlist-s"/>
                <w:rFonts w:ascii="Cambria Math" w:hAnsi="Cambria Math" w:cs="Times New Roman"/>
                <w:color w:val="212C36"/>
                <w:sz w:val="2"/>
                <w:szCs w:val="2"/>
              </w:rPr>
              <m:t>​</m:t>
            </m:r>
          </m:e>
        </m:rad>
        <m:r>
          <w:rPr>
            <w:rStyle w:val="mord"/>
            <w:rFonts w:ascii="Cambria Math" w:hAnsi="Cambria Math" w:cs="Times New Roman"/>
            <w:color w:val="212C36"/>
            <w:sz w:val="29"/>
            <w:szCs w:val="29"/>
          </w:rPr>
          <m:t xml:space="preserve"> </m:t>
        </m:r>
      </m:oMath>
      <w:r>
        <w:rPr>
          <w:rStyle w:val="mord"/>
          <w:rFonts w:ascii="KaTeX_Math" w:hAnsi="KaTeX_Math" w:cs="Times New Roman"/>
          <w:i/>
          <w:iCs/>
          <w:color w:val="212C36"/>
          <w:sz w:val="29"/>
          <w:szCs w:val="29"/>
        </w:rPr>
        <w:t>σ</w:t>
      </w:r>
      <w:r>
        <w:rPr>
          <w:rStyle w:val="mord"/>
          <w:rFonts w:ascii="Times New Roman" w:hAnsi="Times New Roman" w:cs="Times New Roman"/>
          <w:color w:val="212C36"/>
          <w:sz w:val="29"/>
          <w:szCs w:val="29"/>
        </w:rPr>
        <w:t>）・</w:t>
      </w:r>
      <w:r>
        <w:rPr>
          <w:rStyle w:val="vlist-s"/>
          <w:rFonts w:ascii="Times New Roman" w:hAnsi="Times New Roman" w:cs="Times New Roman"/>
          <w:color w:val="212C36"/>
          <w:sz w:val="2"/>
          <w:szCs w:val="2"/>
        </w:rPr>
        <w:t>​</w:t>
      </w:r>
      <w:r>
        <w:rPr>
          <w:rStyle w:val="mop"/>
          <w:rFonts w:ascii="Times New Roman" w:hAnsi="Times New Roman" w:cs="Times New Roman"/>
          <w:color w:val="212C36"/>
          <w:sz w:val="29"/>
          <w:szCs w:val="29"/>
        </w:rPr>
        <w:t>exp</w:t>
      </w:r>
      <w:r>
        <w:rPr>
          <w:rStyle w:val="delimsizing"/>
          <w:rFonts w:ascii="KaTeX_Size3" w:hAnsi="KaTeX_Size3" w:cs="Times New Roman"/>
          <w:color w:val="212C36"/>
          <w:sz w:val="29"/>
          <w:szCs w:val="29"/>
        </w:rPr>
        <w:t>{</w:t>
      </w:r>
      <w:r>
        <w:rPr>
          <w:rStyle w:val="mord"/>
          <w:rFonts w:ascii="Times New Roman" w:hAnsi="Times New Roman" w:cs="Times New Roman"/>
          <w:color w:val="212C36"/>
          <w:sz w:val="29"/>
          <w:szCs w:val="29"/>
        </w:rPr>
        <w:t>−</w:t>
      </w:r>
      <w:r>
        <w:rPr>
          <w:rStyle w:val="mopen"/>
          <w:rFonts w:ascii="Times New Roman" w:hAnsi="Times New Roman" w:cs="Times New Roman"/>
          <w:color w:val="212C36"/>
          <w:sz w:val="29"/>
          <w:szCs w:val="29"/>
        </w:rPr>
        <w:t xml:space="preserve"> (</w:t>
      </w:r>
      <w:r>
        <w:rPr>
          <w:rStyle w:val="mord"/>
          <w:rFonts w:ascii="KaTeX_Math" w:hAnsi="KaTeX_Math" w:cs="Times New Roman"/>
          <w:i/>
          <w:iCs/>
          <w:color w:val="212C36"/>
          <w:sz w:val="29"/>
          <w:szCs w:val="29"/>
        </w:rPr>
        <w:t>y</w:t>
      </w:r>
      <w:r>
        <w:rPr>
          <w:rStyle w:val="mbin"/>
          <w:rFonts w:ascii="Times New Roman" w:hAnsi="Times New Roman" w:cs="Times New Roman"/>
          <w:color w:val="212C36"/>
          <w:sz w:val="29"/>
          <w:szCs w:val="29"/>
        </w:rPr>
        <w:t>−</w:t>
      </w:r>
      <w:r>
        <w:rPr>
          <w:rStyle w:val="mord"/>
          <w:rFonts w:ascii="KaTeX_Math" w:hAnsi="KaTeX_Math" w:cs="Times New Roman"/>
          <w:i/>
          <w:iCs/>
          <w:color w:val="212C36"/>
          <w:sz w:val="29"/>
          <w:szCs w:val="29"/>
        </w:rPr>
        <w:t>μ</w:t>
      </w:r>
      <w:r>
        <w:rPr>
          <w:rStyle w:val="mclose"/>
          <w:rFonts w:ascii="Times New Roman" w:hAnsi="Times New Roman" w:cs="Times New Roman"/>
          <w:color w:val="212C36"/>
          <w:sz w:val="29"/>
          <w:szCs w:val="29"/>
        </w:rPr>
        <w:t>)</w:t>
      </w:r>
      <w:r w:rsidRPr="00265976">
        <w:rPr>
          <w:rStyle w:val="mord"/>
          <w:rFonts w:ascii="Times New Roman" w:hAnsi="Times New Roman" w:cs="Times New Roman"/>
          <w:color w:val="212C36"/>
          <w:sz w:val="20"/>
          <w:szCs w:val="20"/>
          <w:vertAlign w:val="superscript"/>
        </w:rPr>
        <w:t>2</w:t>
      </w:r>
      <w:r>
        <w:rPr>
          <w:rStyle w:val="mord"/>
          <w:rFonts w:ascii="Times New Roman" w:hAnsi="Times New Roman" w:cs="Times New Roman"/>
          <w:color w:val="212C36"/>
          <w:sz w:val="20"/>
          <w:szCs w:val="20"/>
        </w:rPr>
        <w:t>／</w:t>
      </w:r>
      <w:r>
        <w:rPr>
          <w:rStyle w:val="vlist-s"/>
          <w:rFonts w:ascii="Times New Roman" w:hAnsi="Times New Roman" w:cs="Times New Roman"/>
          <w:color w:val="212C36"/>
          <w:sz w:val="2"/>
          <w:szCs w:val="2"/>
        </w:rPr>
        <w:t>​</w:t>
      </w:r>
      <w:r>
        <w:rPr>
          <w:rStyle w:val="mord"/>
          <w:rFonts w:ascii="Times New Roman" w:hAnsi="Times New Roman" w:cs="Times New Roman"/>
          <w:color w:val="212C36"/>
          <w:sz w:val="29"/>
          <w:szCs w:val="29"/>
        </w:rPr>
        <w:t>2</w:t>
      </w:r>
      <w:r>
        <w:rPr>
          <w:rStyle w:val="mord"/>
          <w:rFonts w:ascii="KaTeX_Math" w:hAnsi="KaTeX_Math" w:cs="Times New Roman"/>
          <w:i/>
          <w:iCs/>
          <w:color w:val="212C36"/>
          <w:sz w:val="29"/>
          <w:szCs w:val="29"/>
        </w:rPr>
        <w:t>σ</w:t>
      </w:r>
      <w:r w:rsidRPr="00265976">
        <w:rPr>
          <w:rStyle w:val="mord"/>
          <w:rFonts w:ascii="Times New Roman" w:hAnsi="Times New Roman" w:cs="Times New Roman"/>
          <w:color w:val="212C36"/>
          <w:sz w:val="20"/>
          <w:szCs w:val="20"/>
          <w:vertAlign w:val="superscript"/>
        </w:rPr>
        <w:t>2</w:t>
      </w:r>
      <w:r>
        <w:rPr>
          <w:rStyle w:val="delimsizing"/>
          <w:rFonts w:ascii="KaTeX_Size3" w:hAnsi="KaTeX_Size3" w:cs="Times New Roman"/>
          <w:color w:val="212C36"/>
          <w:sz w:val="29"/>
          <w:szCs w:val="29"/>
        </w:rPr>
        <w:t>}</w:t>
      </w:r>
    </w:p>
    <w:p w14:paraId="6E19C88C" w14:textId="77777777" w:rsidR="009C362C" w:rsidRDefault="009C362C" w:rsidP="009C362C">
      <w:pPr>
        <w:ind w:leftChars="21" w:left="43"/>
        <w:rPr>
          <w:color w:val="000000" w:themeColor="text1"/>
        </w:rPr>
      </w:pPr>
      <w:r>
        <w:rPr>
          <w:rFonts w:hint="eastAsia"/>
          <w:color w:val="000000" w:themeColor="text1"/>
        </w:rPr>
        <w:t xml:space="preserve">　これに対し、対数正規分布の確率密度関数（対数平均値がμ、対数標準偏差がσのとき値がｘとなる確率）は以下の式で表される。</w:t>
      </w:r>
    </w:p>
    <w:p w14:paraId="6E2F8B75" w14:textId="77777777" w:rsidR="009C362C" w:rsidRDefault="009C362C" w:rsidP="009C362C">
      <w:pPr>
        <w:ind w:leftChars="21" w:left="333" w:hanging="290"/>
        <w:rPr>
          <w:rFonts w:ascii="Times New Roman" w:hAnsi="Times New Roman" w:cs="Times New Roman"/>
          <w:color w:val="212C36"/>
          <w:sz w:val="29"/>
          <w:szCs w:val="29"/>
          <w:bdr w:val="none" w:sz="0" w:space="0" w:color="auto" w:frame="1"/>
        </w:rPr>
      </w:pPr>
      <w:r>
        <w:rPr>
          <w:rStyle w:val="mord"/>
          <w:rFonts w:ascii="KaTeX_Math" w:hAnsi="KaTeX_Math" w:cs="Times New Roman"/>
          <w:i/>
          <w:iCs/>
          <w:color w:val="212C36"/>
          <w:sz w:val="29"/>
          <w:szCs w:val="29"/>
        </w:rPr>
        <w:t>f</w:t>
      </w:r>
      <w:r>
        <w:rPr>
          <w:rStyle w:val="mopen"/>
          <w:rFonts w:ascii="Times New Roman" w:hAnsi="Times New Roman" w:cs="Times New Roman"/>
          <w:color w:val="212C36"/>
          <w:sz w:val="29"/>
          <w:szCs w:val="29"/>
        </w:rPr>
        <w:t>(</w:t>
      </w:r>
      <w:r>
        <w:rPr>
          <w:rStyle w:val="mord"/>
          <w:rFonts w:ascii="KaTeX_Math" w:hAnsi="KaTeX_Math" w:cs="Times New Roman"/>
          <w:i/>
          <w:iCs/>
          <w:color w:val="212C36"/>
          <w:sz w:val="29"/>
          <w:szCs w:val="29"/>
        </w:rPr>
        <w:t>x</w:t>
      </w:r>
      <w:r>
        <w:rPr>
          <w:rStyle w:val="mclose"/>
          <w:rFonts w:ascii="Times New Roman" w:hAnsi="Times New Roman" w:cs="Times New Roman"/>
          <w:color w:val="212C36"/>
          <w:sz w:val="29"/>
          <w:szCs w:val="29"/>
        </w:rPr>
        <w:t>)</w:t>
      </w:r>
      <w:r>
        <w:rPr>
          <w:rStyle w:val="mrel"/>
          <w:rFonts w:ascii="Times New Roman" w:hAnsi="Times New Roman" w:cs="Times New Roman"/>
          <w:color w:val="212C36"/>
          <w:sz w:val="29"/>
          <w:szCs w:val="29"/>
        </w:rPr>
        <w:t>=</w:t>
      </w:r>
      <w:r>
        <w:rPr>
          <w:rStyle w:val="mord"/>
          <w:rFonts w:ascii="Times New Roman" w:hAnsi="Times New Roman" w:cs="Times New Roman"/>
          <w:color w:val="212C36"/>
          <w:sz w:val="29"/>
          <w:szCs w:val="29"/>
        </w:rPr>
        <w:t xml:space="preserve"> </w:t>
      </w:r>
      <w:r>
        <w:rPr>
          <w:rStyle w:val="mord"/>
          <w:rFonts w:ascii="Times New Roman" w:hAnsi="Times New Roman" w:cs="Times New Roman"/>
          <w:color w:val="212C36"/>
          <w:sz w:val="29"/>
          <w:szCs w:val="29"/>
        </w:rPr>
        <w:t>（</w:t>
      </w:r>
      <w:r>
        <w:rPr>
          <w:rStyle w:val="mord"/>
          <w:rFonts w:ascii="Times New Roman" w:hAnsi="Times New Roman" w:cs="Times New Roman"/>
          <w:color w:val="212C36"/>
          <w:sz w:val="29"/>
          <w:szCs w:val="29"/>
        </w:rPr>
        <w:t>1/</w:t>
      </w:r>
      <m:oMath>
        <m:rad>
          <m:radPr>
            <m:degHide m:val="1"/>
            <m:ctrlPr>
              <w:rPr>
                <w:rStyle w:val="mord"/>
                <w:rFonts w:ascii="Cambria Math" w:hAnsi="Cambria Math" w:cs="Times New Roman"/>
                <w:color w:val="212C36"/>
                <w:sz w:val="29"/>
                <w:szCs w:val="29"/>
              </w:rPr>
            </m:ctrlPr>
          </m:radPr>
          <m:deg/>
          <m:e>
            <m:r>
              <m:rPr>
                <m:sty m:val="p"/>
              </m:rPr>
              <w:rPr>
                <w:rStyle w:val="mord"/>
                <w:rFonts w:ascii="Cambria Math" w:hAnsi="Cambria Math" w:cs="Times New Roman"/>
                <w:color w:val="212C36"/>
                <w:sz w:val="29"/>
                <w:szCs w:val="29"/>
              </w:rPr>
              <m:t>2π</m:t>
            </m:r>
            <m:r>
              <m:rPr>
                <m:sty m:val="p"/>
              </m:rPr>
              <w:rPr>
                <w:rStyle w:val="vlist-s"/>
                <w:rFonts w:ascii="Cambria Math" w:hAnsi="Cambria Math" w:cs="Times New Roman"/>
                <w:color w:val="212C36"/>
                <w:sz w:val="2"/>
                <w:szCs w:val="2"/>
              </w:rPr>
              <m:t>​</m:t>
            </m:r>
          </m:e>
        </m:rad>
      </m:oMath>
      <w:r>
        <w:rPr>
          <w:rStyle w:val="mord"/>
          <w:rFonts w:ascii="Times New Roman" w:hAnsi="Times New Roman" w:cs="Times New Roman" w:hint="eastAsia"/>
          <w:color w:val="212C36"/>
          <w:sz w:val="29"/>
          <w:szCs w:val="29"/>
        </w:rPr>
        <w:t xml:space="preserve"> </w:t>
      </w:r>
      <w:r>
        <w:rPr>
          <w:rStyle w:val="mord"/>
          <w:rFonts w:ascii="KaTeX_Math" w:hAnsi="KaTeX_Math" w:cs="Times New Roman"/>
          <w:i/>
          <w:iCs/>
          <w:color w:val="212C36"/>
          <w:sz w:val="29"/>
          <w:szCs w:val="29"/>
        </w:rPr>
        <w:t>σx</w:t>
      </w:r>
      <w:r>
        <w:rPr>
          <w:rStyle w:val="mord"/>
          <w:rFonts w:ascii="KaTeX_Math" w:hAnsi="KaTeX_Math" w:cs="Times New Roman"/>
          <w:i/>
          <w:iCs/>
          <w:color w:val="212C36"/>
          <w:sz w:val="29"/>
          <w:szCs w:val="29"/>
        </w:rPr>
        <w:t>）</w:t>
      </w:r>
      <w:r>
        <w:rPr>
          <w:rStyle w:val="mord"/>
          <w:rFonts w:ascii="Times New Roman" w:hAnsi="Times New Roman" w:cs="Times New Roman"/>
          <w:color w:val="212C36"/>
          <w:sz w:val="29"/>
          <w:szCs w:val="29"/>
        </w:rPr>
        <w:t>・</w:t>
      </w:r>
      <w:r>
        <w:rPr>
          <w:rStyle w:val="vlist-s"/>
          <w:rFonts w:ascii="Times New Roman" w:hAnsi="Times New Roman" w:cs="Times New Roman"/>
          <w:color w:val="212C36"/>
          <w:sz w:val="2"/>
          <w:szCs w:val="2"/>
        </w:rPr>
        <w:t>​</w:t>
      </w:r>
      <w:r>
        <w:rPr>
          <w:rStyle w:val="mop"/>
          <w:rFonts w:ascii="Times New Roman" w:hAnsi="Times New Roman" w:cs="Times New Roman"/>
          <w:color w:val="212C36"/>
          <w:sz w:val="29"/>
          <w:szCs w:val="29"/>
        </w:rPr>
        <w:t>exp</w:t>
      </w:r>
      <w:r>
        <w:rPr>
          <w:rStyle w:val="delimsizing"/>
          <w:rFonts w:ascii="KaTeX_Size3" w:hAnsi="KaTeX_Size3" w:cs="Times New Roman"/>
          <w:color w:val="212C36"/>
          <w:sz w:val="29"/>
          <w:szCs w:val="29"/>
        </w:rPr>
        <w:t>{</w:t>
      </w:r>
      <w:r>
        <w:rPr>
          <w:rStyle w:val="mord"/>
          <w:rFonts w:ascii="Times New Roman" w:hAnsi="Times New Roman" w:cs="Times New Roman"/>
          <w:color w:val="212C36"/>
          <w:sz w:val="29"/>
          <w:szCs w:val="29"/>
        </w:rPr>
        <w:t>−</w:t>
      </w:r>
      <w:r>
        <w:rPr>
          <w:rStyle w:val="mopen"/>
          <w:rFonts w:ascii="Times New Roman" w:hAnsi="Times New Roman" w:cs="Times New Roman"/>
          <w:color w:val="212C36"/>
          <w:sz w:val="29"/>
          <w:szCs w:val="29"/>
        </w:rPr>
        <w:t xml:space="preserve"> (</w:t>
      </w:r>
      <w:r>
        <w:rPr>
          <w:rStyle w:val="mop"/>
          <w:rFonts w:ascii="Times New Roman" w:hAnsi="Times New Roman" w:cs="Times New Roman"/>
          <w:color w:val="212C36"/>
          <w:sz w:val="29"/>
          <w:szCs w:val="29"/>
        </w:rPr>
        <w:t>log</w:t>
      </w:r>
      <w:r>
        <w:rPr>
          <w:rStyle w:val="mord"/>
          <w:rFonts w:ascii="KaTeX_Math" w:hAnsi="KaTeX_Math" w:cs="Times New Roman"/>
          <w:i/>
          <w:iCs/>
          <w:color w:val="212C36"/>
          <w:sz w:val="29"/>
          <w:szCs w:val="29"/>
        </w:rPr>
        <w:t>x</w:t>
      </w:r>
      <w:r>
        <w:rPr>
          <w:rStyle w:val="mbin"/>
          <w:rFonts w:ascii="Times New Roman" w:hAnsi="Times New Roman" w:cs="Times New Roman"/>
          <w:color w:val="212C36"/>
          <w:sz w:val="29"/>
          <w:szCs w:val="29"/>
        </w:rPr>
        <w:t>−</w:t>
      </w:r>
      <w:r>
        <w:rPr>
          <w:rStyle w:val="mord"/>
          <w:rFonts w:ascii="KaTeX_Math" w:hAnsi="KaTeX_Math" w:cs="Times New Roman"/>
          <w:i/>
          <w:iCs/>
          <w:color w:val="212C36"/>
          <w:sz w:val="29"/>
          <w:szCs w:val="29"/>
        </w:rPr>
        <w:t>μ</w:t>
      </w:r>
      <w:r>
        <w:rPr>
          <w:rStyle w:val="mclose"/>
          <w:rFonts w:ascii="Times New Roman" w:hAnsi="Times New Roman" w:cs="Times New Roman"/>
          <w:color w:val="212C36"/>
          <w:sz w:val="29"/>
          <w:szCs w:val="29"/>
        </w:rPr>
        <w:t>)</w:t>
      </w:r>
      <w:r w:rsidRPr="00265976">
        <w:rPr>
          <w:rStyle w:val="mord"/>
          <w:rFonts w:ascii="Times New Roman" w:hAnsi="Times New Roman" w:cs="Times New Roman"/>
          <w:color w:val="212C36"/>
          <w:sz w:val="20"/>
          <w:szCs w:val="20"/>
          <w:vertAlign w:val="superscript"/>
        </w:rPr>
        <w:t>2</w:t>
      </w:r>
      <w:r>
        <w:rPr>
          <w:rStyle w:val="mord"/>
          <w:rFonts w:ascii="Times New Roman" w:hAnsi="Times New Roman" w:cs="Times New Roman"/>
          <w:color w:val="212C36"/>
          <w:sz w:val="20"/>
          <w:szCs w:val="20"/>
        </w:rPr>
        <w:t>／</w:t>
      </w:r>
      <w:r>
        <w:rPr>
          <w:rStyle w:val="mord"/>
          <w:rFonts w:ascii="Times New Roman" w:hAnsi="Times New Roman" w:cs="Times New Roman"/>
          <w:color w:val="212C36"/>
          <w:sz w:val="29"/>
          <w:szCs w:val="29"/>
        </w:rPr>
        <w:t>2</w:t>
      </w:r>
      <w:r>
        <w:rPr>
          <w:rStyle w:val="mord"/>
          <w:rFonts w:ascii="KaTeX_Math" w:hAnsi="KaTeX_Math" w:cs="Times New Roman"/>
          <w:i/>
          <w:iCs/>
          <w:color w:val="212C36"/>
          <w:sz w:val="29"/>
          <w:szCs w:val="29"/>
        </w:rPr>
        <w:t>σ</w:t>
      </w:r>
      <w:r w:rsidRPr="00265976">
        <w:rPr>
          <w:rStyle w:val="mord"/>
          <w:rFonts w:ascii="Times New Roman" w:hAnsi="Times New Roman" w:cs="Times New Roman"/>
          <w:color w:val="212C36"/>
          <w:sz w:val="20"/>
          <w:szCs w:val="20"/>
          <w:vertAlign w:val="superscript"/>
        </w:rPr>
        <w:t>2</w:t>
      </w:r>
      <w:r w:rsidRPr="00265976">
        <w:rPr>
          <w:rStyle w:val="vlist-s"/>
          <w:rFonts w:ascii="Times New Roman" w:hAnsi="Times New Roman" w:cs="Times New Roman"/>
          <w:color w:val="212C36"/>
          <w:sz w:val="2"/>
          <w:szCs w:val="2"/>
          <w:vertAlign w:val="superscript"/>
        </w:rPr>
        <w:t>​</w:t>
      </w:r>
      <w:r>
        <w:rPr>
          <w:rStyle w:val="delimsizing"/>
          <w:rFonts w:ascii="KaTeX_Size3" w:hAnsi="KaTeX_Size3" w:cs="Times New Roman"/>
          <w:color w:val="212C36"/>
          <w:sz w:val="29"/>
          <w:szCs w:val="29"/>
        </w:rPr>
        <w:t>}</w:t>
      </w:r>
      <w:r>
        <w:rPr>
          <w:rStyle w:val="mopen"/>
          <w:rFonts w:ascii="Times New Roman" w:hAnsi="Times New Roman" w:cs="Times New Roman"/>
          <w:color w:val="212C36"/>
          <w:sz w:val="29"/>
          <w:szCs w:val="29"/>
        </w:rPr>
        <w:t>(</w:t>
      </w:r>
      <w:r>
        <w:rPr>
          <w:rStyle w:val="mord"/>
          <w:rFonts w:ascii="KaTeX_Math" w:hAnsi="KaTeX_Math" w:cs="Times New Roman"/>
          <w:i/>
          <w:iCs/>
          <w:color w:val="212C36"/>
          <w:sz w:val="29"/>
          <w:szCs w:val="29"/>
        </w:rPr>
        <w:t>x</w:t>
      </w:r>
      <w:r>
        <w:rPr>
          <w:rStyle w:val="mrel"/>
          <w:rFonts w:ascii="Times New Roman" w:hAnsi="Times New Roman" w:cs="Times New Roman"/>
          <w:color w:val="212C36"/>
          <w:sz w:val="29"/>
          <w:szCs w:val="29"/>
        </w:rPr>
        <w:t>&gt;</w:t>
      </w:r>
      <w:r>
        <w:rPr>
          <w:rStyle w:val="mord"/>
          <w:rFonts w:ascii="Times New Roman" w:hAnsi="Times New Roman" w:cs="Times New Roman"/>
          <w:color w:val="212C36"/>
          <w:sz w:val="29"/>
          <w:szCs w:val="29"/>
        </w:rPr>
        <w:t>0</w:t>
      </w:r>
      <w:r>
        <w:rPr>
          <w:rStyle w:val="mclose"/>
          <w:rFonts w:ascii="Times New Roman" w:hAnsi="Times New Roman" w:cs="Times New Roman"/>
          <w:color w:val="212C36"/>
          <w:sz w:val="29"/>
          <w:szCs w:val="29"/>
        </w:rPr>
        <w:t>)</w:t>
      </w:r>
    </w:p>
    <w:p w14:paraId="3105F739" w14:textId="77777777" w:rsidR="009C362C" w:rsidRDefault="009C362C" w:rsidP="009C362C">
      <w:pPr>
        <w:ind w:leftChars="3" w:left="6" w:firstLineChars="100" w:firstLine="206"/>
        <w:rPr>
          <w:color w:val="000000" w:themeColor="text1"/>
        </w:rPr>
      </w:pPr>
      <w:r>
        <w:rPr>
          <w:color w:val="000000" w:themeColor="text1"/>
        </w:rPr>
        <w:t>正規分布において平均値</w:t>
      </w:r>
      <w:r>
        <w:rPr>
          <w:color w:val="000000" w:themeColor="text1"/>
        </w:rPr>
        <w:t>μ</w:t>
      </w:r>
      <w:r>
        <w:rPr>
          <w:color w:val="000000" w:themeColor="text1"/>
        </w:rPr>
        <w:t>より標準偏差</w:t>
      </w:r>
      <w:r>
        <w:rPr>
          <w:color w:val="000000" w:themeColor="text1"/>
        </w:rPr>
        <w:t>σ</w:t>
      </w:r>
      <w:r>
        <w:rPr>
          <w:color w:val="000000" w:themeColor="text1"/>
        </w:rPr>
        <w:t>１つ分だけ値が大きいとは、</w:t>
      </w:r>
      <w:r>
        <w:rPr>
          <w:color w:val="000000" w:themeColor="text1"/>
        </w:rPr>
        <w:t>μ</w:t>
      </w:r>
      <w:r>
        <w:rPr>
          <w:color w:val="000000" w:themeColor="text1"/>
        </w:rPr>
        <w:t>に</w:t>
      </w:r>
      <w:r>
        <w:rPr>
          <w:color w:val="000000" w:themeColor="text1"/>
        </w:rPr>
        <w:t>σ</w:t>
      </w:r>
      <w:r>
        <w:rPr>
          <w:color w:val="000000" w:themeColor="text1"/>
        </w:rPr>
        <w:t>を足した値を意味する（例えば、平均身長が１７１センチで標準偏差が６センチの場合は、１７１</w:t>
      </w:r>
      <w:r>
        <w:rPr>
          <w:color w:val="000000" w:themeColor="text1"/>
        </w:rPr>
        <w:t>+</w:t>
      </w:r>
      <w:r>
        <w:rPr>
          <w:color w:val="000000" w:themeColor="text1"/>
        </w:rPr>
        <w:t>６＝１７７センチ）。同様に、標準偏差</w:t>
      </w:r>
      <w:r>
        <w:rPr>
          <w:color w:val="000000" w:themeColor="text1"/>
        </w:rPr>
        <w:t>σ</w:t>
      </w:r>
      <w:r>
        <w:rPr>
          <w:color w:val="000000" w:themeColor="text1"/>
        </w:rPr>
        <w:t>２つ分だけ値が大きいとは、</w:t>
      </w:r>
      <w:r>
        <w:rPr>
          <w:color w:val="000000" w:themeColor="text1"/>
        </w:rPr>
        <w:t>μ</w:t>
      </w:r>
      <w:r>
        <w:rPr>
          <w:color w:val="000000" w:themeColor="text1"/>
        </w:rPr>
        <w:t>に２</w:t>
      </w:r>
      <w:r>
        <w:rPr>
          <w:color w:val="000000" w:themeColor="text1"/>
        </w:rPr>
        <w:t>σ</w:t>
      </w:r>
      <w:r>
        <w:rPr>
          <w:color w:val="000000" w:themeColor="text1"/>
        </w:rPr>
        <w:t>を足した値を意味する。</w:t>
      </w:r>
    </w:p>
    <w:p w14:paraId="4CEA18F4" w14:textId="77777777" w:rsidR="009C362C" w:rsidRDefault="009C362C" w:rsidP="009C362C">
      <w:pPr>
        <w:ind w:leftChars="3" w:left="6" w:firstLineChars="100" w:firstLine="206"/>
        <w:rPr>
          <w:color w:val="000000" w:themeColor="text1"/>
        </w:rPr>
      </w:pPr>
      <w:r>
        <w:rPr>
          <w:color w:val="000000" w:themeColor="text1"/>
        </w:rPr>
        <w:t>これに対し、対数正規分布において、平均値</w:t>
      </w:r>
      <w:r>
        <w:rPr>
          <w:color w:val="000000" w:themeColor="text1"/>
        </w:rPr>
        <w:t>μ</w:t>
      </w:r>
      <w:r>
        <w:rPr>
          <w:color w:val="000000" w:themeColor="text1"/>
        </w:rPr>
        <w:t>より標準偏差</w:t>
      </w:r>
      <w:r>
        <w:rPr>
          <w:color w:val="000000" w:themeColor="text1"/>
        </w:rPr>
        <w:t>σ</w:t>
      </w:r>
      <w:r>
        <w:rPr>
          <w:color w:val="000000" w:themeColor="text1"/>
        </w:rPr>
        <w:t>１つ分だけ値が大きいとは、</w:t>
      </w:r>
      <w:r>
        <w:rPr>
          <w:color w:val="000000" w:themeColor="text1"/>
        </w:rPr>
        <w:t>μ</w:t>
      </w:r>
      <w:r>
        <w:rPr>
          <w:color w:val="000000" w:themeColor="text1"/>
        </w:rPr>
        <w:t>に</w:t>
      </w:r>
      <w:r>
        <w:rPr>
          <w:color w:val="000000" w:themeColor="text1"/>
        </w:rPr>
        <w:t>σ</w:t>
      </w:r>
      <w:r>
        <w:rPr>
          <w:color w:val="000000" w:themeColor="text1"/>
        </w:rPr>
        <w:t>をかけた値を意味する。（例えば、平均所得が４００万円で対数標準偏差が２の場合は、４００万</w:t>
      </w:r>
      <w:r>
        <w:rPr>
          <w:color w:val="000000" w:themeColor="text1"/>
        </w:rPr>
        <w:t>×</w:t>
      </w:r>
      <w:r>
        <w:rPr>
          <w:color w:val="000000" w:themeColor="text1"/>
        </w:rPr>
        <w:t>２＝８００万円）。同様に、標準偏差</w:t>
      </w:r>
      <w:r>
        <w:rPr>
          <w:color w:val="000000" w:themeColor="text1"/>
        </w:rPr>
        <w:t>σ</w:t>
      </w:r>
      <w:r>
        <w:rPr>
          <w:color w:val="000000" w:themeColor="text1"/>
        </w:rPr>
        <w:t>２つ分だけ値が大きいとは、</w:t>
      </w:r>
      <w:r>
        <w:rPr>
          <w:color w:val="000000" w:themeColor="text1"/>
        </w:rPr>
        <w:t>μ</w:t>
      </w:r>
      <w:r>
        <w:rPr>
          <w:color w:val="000000" w:themeColor="text1"/>
        </w:rPr>
        <w:t>に</w:t>
      </w:r>
      <w:r>
        <w:rPr>
          <w:color w:val="000000" w:themeColor="text1"/>
        </w:rPr>
        <w:t>σ</w:t>
      </w:r>
      <w:r>
        <w:rPr>
          <w:color w:val="000000" w:themeColor="text1"/>
        </w:rPr>
        <w:t>の２乗（例えば、２の２乗は４）をかけた値を意味する。</w:t>
      </w:r>
    </w:p>
    <w:p w14:paraId="4BCC1AE9" w14:textId="77777777" w:rsidR="009C362C" w:rsidRDefault="009C362C" w:rsidP="009C362C">
      <w:pPr>
        <w:ind w:leftChars="21" w:left="43"/>
        <w:rPr>
          <w:color w:val="000000" w:themeColor="text1"/>
        </w:rPr>
      </w:pPr>
      <w:r>
        <w:rPr>
          <w:color w:val="000000" w:themeColor="text1"/>
        </w:rPr>
        <w:t xml:space="preserve">　対数標準偏差においても通常の標準偏差と同様、</w:t>
      </w:r>
      <w:r w:rsidRPr="00C257A1">
        <w:rPr>
          <w:rFonts w:hint="eastAsia"/>
          <w:color w:val="000000" w:themeColor="text1"/>
        </w:rPr>
        <w:t>平均値より標準偏差１つ分以上隔たりがあるデータの割合は</w:t>
      </w:r>
      <w:r w:rsidRPr="00C257A1">
        <w:rPr>
          <w:rFonts w:hint="eastAsia"/>
          <w:color w:val="000000" w:themeColor="text1"/>
        </w:rPr>
        <w:t>31.731058</w:t>
      </w:r>
      <w:r w:rsidRPr="00C257A1">
        <w:rPr>
          <w:rFonts w:hint="eastAsia"/>
          <w:color w:val="000000" w:themeColor="text1"/>
        </w:rPr>
        <w:t>％（この中には平均より小さいデータも大きいデータもあるので、標準偏差１つ分以上大きいデータはその半分）、標準偏差２つ分以上隔たりがあるデー</w:t>
      </w:r>
      <w:r w:rsidRPr="00C257A1">
        <w:rPr>
          <w:rFonts w:hint="eastAsia"/>
          <w:color w:val="000000" w:themeColor="text1"/>
        </w:rPr>
        <w:t>タの割合は</w:t>
      </w:r>
      <w:r w:rsidRPr="00C257A1">
        <w:rPr>
          <w:rFonts w:hint="eastAsia"/>
          <w:color w:val="000000" w:themeColor="text1"/>
        </w:rPr>
        <w:t>4.5500264</w:t>
      </w:r>
      <w:r w:rsidRPr="00C257A1">
        <w:rPr>
          <w:rFonts w:hint="eastAsia"/>
          <w:color w:val="000000" w:themeColor="text1"/>
        </w:rPr>
        <w:t>％（同上）となる</w:t>
      </w:r>
      <w:r>
        <w:rPr>
          <w:rFonts w:hint="eastAsia"/>
          <w:color w:val="000000" w:themeColor="text1"/>
        </w:rPr>
        <w:t>。</w:t>
      </w:r>
    </w:p>
    <w:p w14:paraId="7031476A" w14:textId="2195FD75" w:rsidR="009C362C" w:rsidRDefault="009C362C" w:rsidP="009C362C">
      <w:pPr>
        <w:ind w:leftChars="21" w:left="43"/>
        <w:rPr>
          <w:color w:val="000000" w:themeColor="text1"/>
        </w:rPr>
      </w:pPr>
      <w:r>
        <w:rPr>
          <w:rFonts w:hint="eastAsia"/>
          <w:color w:val="000000" w:themeColor="text1"/>
        </w:rPr>
        <w:t xml:space="preserve">　そして、建築の設計や地震の研究においては、以下のとおり、基準地震動に対数標準偏差２つ分（基準地震動に、対数標準偏差の２乗を掛けた値）の余裕をもたせることが広く行われている。（以下、論文の引用が続くが省略）」</w:t>
      </w:r>
    </w:p>
    <w:p w14:paraId="2AAD6DBA" w14:textId="0162A2CB" w:rsidR="009C362C" w:rsidRDefault="009C362C" w:rsidP="009C362C">
      <w:pPr>
        <w:rPr>
          <w:rFonts w:asciiTheme="minorEastAsia" w:hAnsiTheme="minorEastAsia"/>
          <w:sz w:val="22"/>
        </w:rPr>
      </w:pPr>
      <w:r>
        <w:rPr>
          <w:rFonts w:asciiTheme="minorEastAsia" w:hAnsiTheme="minorEastAsia" w:hint="eastAsia"/>
          <w:sz w:val="22"/>
        </w:rPr>
        <w:t xml:space="preserve">　これに対して関西電力は、なんと、安全評価には絶対論的安全評価（例えば、ここまでの地震は来るがこれ以上の地震は来ないという評価）と確率論的安全評価（例えば、対数標準偏差２つ分の余裕を持たせること）があり、原発の安全評価で行われているのは後者でなく前者であるという驚くべき主張をしている。しかしながらかかる主張は、原発推進の立場に立つ研究者たちによってすら否定されている。</w:t>
      </w:r>
    </w:p>
    <w:p w14:paraId="400BE691" w14:textId="77777777" w:rsidR="009C362C" w:rsidRDefault="009C362C" w:rsidP="009C362C">
      <w:pPr>
        <w:rPr>
          <w:rFonts w:asciiTheme="minorEastAsia" w:hAnsiTheme="minorEastAsia"/>
          <w:sz w:val="22"/>
        </w:rPr>
      </w:pPr>
    </w:p>
    <w:p w14:paraId="23991196" w14:textId="0931E343" w:rsidR="009C362C" w:rsidRDefault="009C362C" w:rsidP="009C362C">
      <w:pPr>
        <w:rPr>
          <w:rFonts w:asciiTheme="minorEastAsia" w:hAnsiTheme="minorEastAsia"/>
          <w:sz w:val="22"/>
        </w:rPr>
      </w:pPr>
      <w:r>
        <w:rPr>
          <w:rFonts w:asciiTheme="minorEastAsia" w:hAnsiTheme="minorEastAsia"/>
          <w:sz w:val="22"/>
        </w:rPr>
        <w:t>５　まとめ</w:t>
      </w:r>
    </w:p>
    <w:p w14:paraId="59E8283A" w14:textId="09B48C4D" w:rsidR="009C362C" w:rsidRPr="009C362C" w:rsidRDefault="009C362C" w:rsidP="009C362C">
      <w:pPr>
        <w:rPr>
          <w:rFonts w:asciiTheme="minorEastAsia" w:hAnsiTheme="minorEastAsia"/>
          <w:sz w:val="22"/>
        </w:rPr>
      </w:pPr>
      <w:r>
        <w:rPr>
          <w:rFonts w:asciiTheme="minorEastAsia" w:hAnsiTheme="minorEastAsia"/>
          <w:sz w:val="22"/>
        </w:rPr>
        <w:t xml:space="preserve">　以上見たとおり、樋口判決を皮切りとする、福島原発事故を二度と引き起こさないことを意識した、自然科学に立脚した司法判断は、もはや原発裁判における主流を構成しつつある。そして、当職も、樋口判決における弁護団事務局長を務めた弁護士として、これら３つの裁判をはじめとする原発裁判において、自然科学的知見に立脚した司法判断をより一層推し進めていく所存である。</w:t>
      </w:r>
    </w:p>
    <w:p w14:paraId="25AE66D6" w14:textId="428DB532" w:rsidR="00B562C5" w:rsidRPr="003C1597" w:rsidRDefault="00B562C5" w:rsidP="00B562C5">
      <w:r>
        <w:rPr>
          <w:rFonts w:asciiTheme="minorEastAsia" w:hAnsiTheme="minorEastAsia"/>
          <w:sz w:val="16"/>
          <w:szCs w:val="16"/>
        </w:rPr>
        <w:t xml:space="preserve">　</w:t>
      </w:r>
    </w:p>
    <w:sectPr w:rsidR="00B562C5" w:rsidRPr="003C1597"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DA24" w14:textId="77777777" w:rsidR="00B97945" w:rsidRDefault="00B97945" w:rsidP="005657AD">
      <w:r>
        <w:separator/>
      </w:r>
    </w:p>
  </w:endnote>
  <w:endnote w:type="continuationSeparator" w:id="0">
    <w:p w14:paraId="07503BD2" w14:textId="77777777" w:rsidR="00B97945" w:rsidRDefault="00B97945"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KaTeX_Size3">
    <w:altName w:val="Times New Roman"/>
    <w:panose1 w:val="00000000000000000000"/>
    <w:charset w:val="00"/>
    <w:family w:val="roman"/>
    <w:notTrueType/>
    <w:pitch w:val="default"/>
  </w:font>
  <w:font w:name="KaTeX_Math">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914198"/>
      <w:docPartObj>
        <w:docPartGallery w:val="Page Numbers (Bottom of Page)"/>
        <w:docPartUnique/>
      </w:docPartObj>
    </w:sdtPr>
    <w:sdtEndPr/>
    <w:sdtContent>
      <w:p w14:paraId="01BF9C01" w14:textId="114C538A" w:rsidR="00126546" w:rsidRDefault="00126546" w:rsidP="00126546">
        <w:pPr>
          <w:pStyle w:val="a8"/>
          <w:ind w:firstLineChars="2000" w:firstLine="4200"/>
        </w:pPr>
        <w:r>
          <w:fldChar w:fldCharType="begin"/>
        </w:r>
        <w:r>
          <w:instrText>PAGE   \* MERGEFORMAT</w:instrText>
        </w:r>
        <w:r>
          <w:fldChar w:fldCharType="separate"/>
        </w:r>
        <w:r w:rsidR="00DC1277" w:rsidRPr="00DC1277">
          <w:rPr>
            <w:noProof/>
            <w:lang w:val="ja-JP"/>
          </w:rPr>
          <w:t>5</w:t>
        </w:r>
        <w:r>
          <w:fldChar w:fldCharType="end"/>
        </w:r>
      </w:p>
    </w:sdtContent>
  </w:sdt>
  <w:p w14:paraId="730ECD19" w14:textId="77777777" w:rsidR="00126546" w:rsidRDefault="001265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1BB5" w14:textId="77777777" w:rsidR="00B97945" w:rsidRDefault="00B97945" w:rsidP="005657AD">
      <w:r>
        <w:separator/>
      </w:r>
    </w:p>
  </w:footnote>
  <w:footnote w:type="continuationSeparator" w:id="0">
    <w:p w14:paraId="6949C8A6" w14:textId="77777777" w:rsidR="00B97945" w:rsidRDefault="00B97945" w:rsidP="005657AD">
      <w:r>
        <w:continuationSeparator/>
      </w:r>
    </w:p>
  </w:footnote>
  <w:footnote w:id="1">
    <w:p w14:paraId="649DE31F" w14:textId="4C19FE1E" w:rsidR="00590554" w:rsidRDefault="00590554" w:rsidP="00423C0F">
      <w:pPr>
        <w:pStyle w:val="ab"/>
      </w:pPr>
      <w:r>
        <w:rPr>
          <w:rStyle w:val="ad"/>
        </w:rPr>
        <w:footnoteRef/>
      </w:r>
      <w:r>
        <w:t xml:space="preserve"> </w:t>
      </w:r>
      <w:r w:rsidR="00423C0F" w:rsidRPr="00423C0F">
        <w:rPr>
          <w:rFonts w:hint="eastAsia"/>
        </w:rPr>
        <w:t>2016</w:t>
      </w:r>
      <w:r w:rsidR="00423C0F" w:rsidRPr="00423C0F">
        <w:rPr>
          <w:rFonts w:hint="eastAsia"/>
        </w:rPr>
        <w:t>（平成</w:t>
      </w:r>
      <w:r w:rsidR="00423C0F" w:rsidRPr="00423C0F">
        <w:rPr>
          <w:rFonts w:hint="eastAsia"/>
        </w:rPr>
        <w:t>28</w:t>
      </w:r>
      <w:r w:rsidR="00423C0F" w:rsidRPr="00423C0F">
        <w:rPr>
          <w:rFonts w:hint="eastAsia"/>
        </w:rPr>
        <w:t>）年に大津地裁が高浜原発</w:t>
      </w:r>
      <w:r w:rsidR="00423C0F" w:rsidRPr="00423C0F">
        <w:rPr>
          <w:rFonts w:hint="eastAsia"/>
        </w:rPr>
        <w:t>3</w:t>
      </w:r>
      <w:r w:rsidR="00423C0F" w:rsidRPr="00423C0F">
        <w:rPr>
          <w:rFonts w:hint="eastAsia"/>
        </w:rPr>
        <w:t>・</w:t>
      </w:r>
      <w:r w:rsidR="00423C0F" w:rsidRPr="00423C0F">
        <w:rPr>
          <w:rFonts w:hint="eastAsia"/>
        </w:rPr>
        <w:t>4</w:t>
      </w:r>
      <w:r w:rsidR="00423C0F" w:rsidRPr="00423C0F">
        <w:rPr>
          <w:rFonts w:hint="eastAsia"/>
        </w:rPr>
        <w:t>号機の運転差し止めを命じる仮処分を発令した後、翌年、大阪高裁はこの決定を覆し</w:t>
      </w:r>
      <w:r w:rsidR="00423C0F">
        <w:rPr>
          <w:rFonts w:hint="eastAsia"/>
        </w:rPr>
        <w:t>たが、その際、何と、島崎教授の見解は不合理だという裁判所にあるまじき断定をした。これらの裁判官が島崎教授</w:t>
      </w:r>
      <w:r w:rsidR="00423C0F" w:rsidRPr="00423C0F">
        <w:rPr>
          <w:rFonts w:hint="eastAsia"/>
        </w:rPr>
        <w:t>を超える地震学の見識を有</w:t>
      </w:r>
      <w:r w:rsidR="00423C0F">
        <w:rPr>
          <w:rFonts w:hint="eastAsia"/>
        </w:rPr>
        <w:t>しているはずもなく、この司法判断は、最大級の非難に値するものといえる</w:t>
      </w:r>
      <w:r w:rsidR="00423C0F" w:rsidRPr="00423C0F">
        <w:rPr>
          <w:rFonts w:hint="eastAsia"/>
        </w:rPr>
        <w:t>。</w:t>
      </w:r>
    </w:p>
  </w:footnote>
  <w:footnote w:id="2">
    <w:p w14:paraId="6BD4B38D" w14:textId="5E571F82" w:rsidR="00423C0F" w:rsidRDefault="00423C0F">
      <w:pPr>
        <w:pStyle w:val="ab"/>
      </w:pPr>
      <w:r>
        <w:rPr>
          <w:rStyle w:val="ad"/>
        </w:rPr>
        <w:footnoteRef/>
      </w:r>
      <w:r>
        <w:t xml:space="preserve"> </w:t>
      </w:r>
      <w:r>
        <w:rPr>
          <w:rFonts w:hint="eastAsia"/>
        </w:rPr>
        <w:t>その後、地震動ガイドは改悪されてしまったが、言うまでもなく、それを正当化するだけの科学的根拠なく規制を緩める（</w:t>
      </w:r>
      <w:r>
        <w:rPr>
          <w:rFonts w:hint="eastAsia"/>
        </w:rPr>
        <w:t>あるいは、文言に反する運用を正当化する方向で規制を改悪する）ことは、それに基づく審査過程が不合理であることを示すものである。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F86C3" w14:textId="33FA4FC2" w:rsidR="00640050" w:rsidRDefault="00640050">
    <w:pPr>
      <w:pStyle w:val="a6"/>
    </w:pPr>
    <w:r>
      <w:rPr>
        <w:rFonts w:hint="eastAsia"/>
        <w:sz w:val="16"/>
        <w:szCs w:val="16"/>
      </w:rPr>
      <w:t>『福井の科学者</w:t>
    </w:r>
    <w:r>
      <w:rPr>
        <w:rFonts w:hint="eastAsia"/>
        <w:sz w:val="16"/>
        <w:szCs w:val="16"/>
      </w:rPr>
      <w:t>13</w:t>
    </w:r>
    <w:r w:rsidR="00790B5C">
      <w:rPr>
        <w:rFonts w:hint="eastAsia"/>
        <w:sz w:val="16"/>
        <w:szCs w:val="16"/>
      </w:rPr>
      <w:t>8</w:t>
    </w:r>
    <w:r>
      <w:rPr>
        <w:rFonts w:hint="eastAsia"/>
        <w:sz w:val="16"/>
        <w:szCs w:val="16"/>
      </w:rPr>
      <w:t>号（</w:t>
    </w:r>
    <w:r>
      <w:rPr>
        <w:rFonts w:hint="eastAsia"/>
        <w:sz w:val="16"/>
        <w:szCs w:val="16"/>
      </w:rPr>
      <w:t>202</w:t>
    </w:r>
    <w:r w:rsidR="00790B5C">
      <w:rPr>
        <w:rFonts w:hint="eastAsia"/>
        <w:sz w:val="16"/>
        <w:szCs w:val="16"/>
      </w:rPr>
      <w:t>2</w:t>
    </w:r>
    <w:r>
      <w:rPr>
        <w:rFonts w:hint="eastAsia"/>
        <w:sz w:val="16"/>
        <w:szCs w:val="16"/>
      </w:rPr>
      <w:t>年</w:t>
    </w:r>
    <w:r w:rsidR="00790B5C">
      <w:rPr>
        <w:rFonts w:hint="eastAsia"/>
        <w:sz w:val="16"/>
        <w:szCs w:val="16"/>
      </w:rPr>
      <w:t>6</w:t>
    </w:r>
    <w:r>
      <w:rPr>
        <w:rFonts w:hint="eastAsia"/>
        <w:sz w:val="16"/>
        <w:szCs w:val="16"/>
      </w:rPr>
      <w:t>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65930" w14:textId="5DEE02C0"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EC2C0E">
      <w:rPr>
        <w:sz w:val="16"/>
        <w:szCs w:val="16"/>
      </w:rPr>
      <w:t>40</w:t>
    </w:r>
    <w:r>
      <w:rPr>
        <w:rFonts w:hint="eastAsia"/>
        <w:sz w:val="16"/>
        <w:szCs w:val="16"/>
      </w:rPr>
      <w:t>号（</w:t>
    </w:r>
    <w:r>
      <w:rPr>
        <w:rFonts w:hint="eastAsia"/>
        <w:sz w:val="16"/>
        <w:szCs w:val="16"/>
      </w:rPr>
      <w:t>202</w:t>
    </w:r>
    <w:r w:rsidR="00EC2C0E">
      <w:rPr>
        <w:sz w:val="16"/>
        <w:szCs w:val="16"/>
      </w:rPr>
      <w:t>4</w:t>
    </w:r>
    <w:r>
      <w:rPr>
        <w:rFonts w:hint="eastAsia"/>
        <w:sz w:val="16"/>
        <w:szCs w:val="16"/>
      </w:rPr>
      <w:t>年</w:t>
    </w:r>
    <w:r w:rsidR="00EC2C0E">
      <w:rPr>
        <w:rFonts w:hint="eastAsia"/>
        <w:sz w:val="16"/>
        <w:szCs w:val="16"/>
      </w:rPr>
      <w:t>1</w:t>
    </w:r>
    <w:r>
      <w:rPr>
        <w:rFonts w:hint="eastAsia"/>
        <w:sz w:val="16"/>
        <w:szCs w:val="16"/>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3"/>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A8"/>
    <w:rsid w:val="000002E7"/>
    <w:rsid w:val="00005973"/>
    <w:rsid w:val="0001467D"/>
    <w:rsid w:val="00030258"/>
    <w:rsid w:val="000365D6"/>
    <w:rsid w:val="00036BED"/>
    <w:rsid w:val="00046D05"/>
    <w:rsid w:val="000503E9"/>
    <w:rsid w:val="00051631"/>
    <w:rsid w:val="00055753"/>
    <w:rsid w:val="0005737B"/>
    <w:rsid w:val="00062D89"/>
    <w:rsid w:val="00064292"/>
    <w:rsid w:val="000733B2"/>
    <w:rsid w:val="00077617"/>
    <w:rsid w:val="00077C8D"/>
    <w:rsid w:val="0008298E"/>
    <w:rsid w:val="0009090D"/>
    <w:rsid w:val="00092803"/>
    <w:rsid w:val="000B766A"/>
    <w:rsid w:val="000C10E8"/>
    <w:rsid w:val="000C4FC1"/>
    <w:rsid w:val="000D51ED"/>
    <w:rsid w:val="000D5A65"/>
    <w:rsid w:val="000E53C5"/>
    <w:rsid w:val="000F1A29"/>
    <w:rsid w:val="000F7B87"/>
    <w:rsid w:val="00102FD0"/>
    <w:rsid w:val="001057FA"/>
    <w:rsid w:val="00110EDC"/>
    <w:rsid w:val="001228BD"/>
    <w:rsid w:val="00124FBE"/>
    <w:rsid w:val="00126546"/>
    <w:rsid w:val="00126DD8"/>
    <w:rsid w:val="0012753E"/>
    <w:rsid w:val="00131970"/>
    <w:rsid w:val="00131A96"/>
    <w:rsid w:val="001343D3"/>
    <w:rsid w:val="00140269"/>
    <w:rsid w:val="001449CA"/>
    <w:rsid w:val="001476EB"/>
    <w:rsid w:val="00154932"/>
    <w:rsid w:val="0015684C"/>
    <w:rsid w:val="0017072E"/>
    <w:rsid w:val="0017465F"/>
    <w:rsid w:val="00181EF8"/>
    <w:rsid w:val="00186BC8"/>
    <w:rsid w:val="00191A4C"/>
    <w:rsid w:val="00193330"/>
    <w:rsid w:val="001935A0"/>
    <w:rsid w:val="0019412C"/>
    <w:rsid w:val="001B115B"/>
    <w:rsid w:val="001B1FCE"/>
    <w:rsid w:val="001B2489"/>
    <w:rsid w:val="001B2E23"/>
    <w:rsid w:val="001B6C7D"/>
    <w:rsid w:val="001B7442"/>
    <w:rsid w:val="001C1852"/>
    <w:rsid w:val="001C65B2"/>
    <w:rsid w:val="001C6F5E"/>
    <w:rsid w:val="001D03B1"/>
    <w:rsid w:val="001D3C5B"/>
    <w:rsid w:val="001D62D3"/>
    <w:rsid w:val="001E3BE9"/>
    <w:rsid w:val="00206966"/>
    <w:rsid w:val="00207052"/>
    <w:rsid w:val="002111A3"/>
    <w:rsid w:val="0021700D"/>
    <w:rsid w:val="0023007B"/>
    <w:rsid w:val="0023070A"/>
    <w:rsid w:val="00230EEC"/>
    <w:rsid w:val="002404F0"/>
    <w:rsid w:val="0024463E"/>
    <w:rsid w:val="00245466"/>
    <w:rsid w:val="00245EE3"/>
    <w:rsid w:val="00246505"/>
    <w:rsid w:val="00255AC9"/>
    <w:rsid w:val="00267413"/>
    <w:rsid w:val="002717CD"/>
    <w:rsid w:val="00272088"/>
    <w:rsid w:val="00277176"/>
    <w:rsid w:val="00284885"/>
    <w:rsid w:val="002870D6"/>
    <w:rsid w:val="002935A5"/>
    <w:rsid w:val="00295A8A"/>
    <w:rsid w:val="00297617"/>
    <w:rsid w:val="002A222E"/>
    <w:rsid w:val="002A6483"/>
    <w:rsid w:val="002C39AA"/>
    <w:rsid w:val="002C5CAD"/>
    <w:rsid w:val="002F5307"/>
    <w:rsid w:val="002F7B02"/>
    <w:rsid w:val="003063B7"/>
    <w:rsid w:val="00313B4B"/>
    <w:rsid w:val="003141CA"/>
    <w:rsid w:val="00314FEC"/>
    <w:rsid w:val="00316619"/>
    <w:rsid w:val="003261BB"/>
    <w:rsid w:val="00331155"/>
    <w:rsid w:val="00335358"/>
    <w:rsid w:val="00337768"/>
    <w:rsid w:val="0034037A"/>
    <w:rsid w:val="00343A80"/>
    <w:rsid w:val="003478DF"/>
    <w:rsid w:val="00351962"/>
    <w:rsid w:val="00352699"/>
    <w:rsid w:val="003606B3"/>
    <w:rsid w:val="00362640"/>
    <w:rsid w:val="003660A7"/>
    <w:rsid w:val="00371D8F"/>
    <w:rsid w:val="00371EE7"/>
    <w:rsid w:val="00382FE2"/>
    <w:rsid w:val="0038596D"/>
    <w:rsid w:val="003859CA"/>
    <w:rsid w:val="00387948"/>
    <w:rsid w:val="00392387"/>
    <w:rsid w:val="003A001B"/>
    <w:rsid w:val="003A6A5E"/>
    <w:rsid w:val="003B0C16"/>
    <w:rsid w:val="003C1597"/>
    <w:rsid w:val="003C20ED"/>
    <w:rsid w:val="003C37E1"/>
    <w:rsid w:val="003D0D1B"/>
    <w:rsid w:val="003E22E1"/>
    <w:rsid w:val="003E357C"/>
    <w:rsid w:val="003F5BDA"/>
    <w:rsid w:val="003F69B4"/>
    <w:rsid w:val="003F6DF8"/>
    <w:rsid w:val="003F71AA"/>
    <w:rsid w:val="004016D0"/>
    <w:rsid w:val="004055C9"/>
    <w:rsid w:val="00413C3F"/>
    <w:rsid w:val="00414672"/>
    <w:rsid w:val="00421A3F"/>
    <w:rsid w:val="00422CFB"/>
    <w:rsid w:val="00423C0F"/>
    <w:rsid w:val="0042738A"/>
    <w:rsid w:val="00427C7A"/>
    <w:rsid w:val="00427FE9"/>
    <w:rsid w:val="00430417"/>
    <w:rsid w:val="004440E9"/>
    <w:rsid w:val="00445C43"/>
    <w:rsid w:val="0044646C"/>
    <w:rsid w:val="004501D0"/>
    <w:rsid w:val="004552C2"/>
    <w:rsid w:val="00462EFD"/>
    <w:rsid w:val="00464B09"/>
    <w:rsid w:val="00464CC5"/>
    <w:rsid w:val="00472AA4"/>
    <w:rsid w:val="00473D39"/>
    <w:rsid w:val="00473DB9"/>
    <w:rsid w:val="00474E0A"/>
    <w:rsid w:val="00480DBD"/>
    <w:rsid w:val="00481A78"/>
    <w:rsid w:val="00490607"/>
    <w:rsid w:val="004A2016"/>
    <w:rsid w:val="004A5213"/>
    <w:rsid w:val="004B0B25"/>
    <w:rsid w:val="004B1623"/>
    <w:rsid w:val="004B249D"/>
    <w:rsid w:val="004B631B"/>
    <w:rsid w:val="004C5A36"/>
    <w:rsid w:val="004C5F7D"/>
    <w:rsid w:val="004D659D"/>
    <w:rsid w:val="004E27C6"/>
    <w:rsid w:val="004E5F19"/>
    <w:rsid w:val="004F2F12"/>
    <w:rsid w:val="004F4B57"/>
    <w:rsid w:val="00500CFE"/>
    <w:rsid w:val="005044B9"/>
    <w:rsid w:val="00512C79"/>
    <w:rsid w:val="0051759C"/>
    <w:rsid w:val="00521996"/>
    <w:rsid w:val="00526FEA"/>
    <w:rsid w:val="00552FBF"/>
    <w:rsid w:val="005606B4"/>
    <w:rsid w:val="005657AD"/>
    <w:rsid w:val="00581ED2"/>
    <w:rsid w:val="00583335"/>
    <w:rsid w:val="00585241"/>
    <w:rsid w:val="00590554"/>
    <w:rsid w:val="005907BD"/>
    <w:rsid w:val="005A1B6C"/>
    <w:rsid w:val="005A1D4F"/>
    <w:rsid w:val="005B5690"/>
    <w:rsid w:val="005D1A6E"/>
    <w:rsid w:val="005D302B"/>
    <w:rsid w:val="005D5693"/>
    <w:rsid w:val="005E156A"/>
    <w:rsid w:val="005F09BD"/>
    <w:rsid w:val="00605454"/>
    <w:rsid w:val="00611BC5"/>
    <w:rsid w:val="006278A7"/>
    <w:rsid w:val="00640050"/>
    <w:rsid w:val="0064470F"/>
    <w:rsid w:val="00645B49"/>
    <w:rsid w:val="00650071"/>
    <w:rsid w:val="006516F4"/>
    <w:rsid w:val="00655FBC"/>
    <w:rsid w:val="0065630F"/>
    <w:rsid w:val="00657054"/>
    <w:rsid w:val="006611F2"/>
    <w:rsid w:val="00671286"/>
    <w:rsid w:val="00673DE8"/>
    <w:rsid w:val="006827E5"/>
    <w:rsid w:val="006845C2"/>
    <w:rsid w:val="006914FF"/>
    <w:rsid w:val="00695C18"/>
    <w:rsid w:val="006A135E"/>
    <w:rsid w:val="006B683C"/>
    <w:rsid w:val="006C5430"/>
    <w:rsid w:val="006D00D3"/>
    <w:rsid w:val="006D0D0A"/>
    <w:rsid w:val="006E07FB"/>
    <w:rsid w:val="006F713C"/>
    <w:rsid w:val="006F745F"/>
    <w:rsid w:val="006F7D74"/>
    <w:rsid w:val="00703460"/>
    <w:rsid w:val="0070588D"/>
    <w:rsid w:val="0070593F"/>
    <w:rsid w:val="007108F6"/>
    <w:rsid w:val="007144A0"/>
    <w:rsid w:val="00715BBF"/>
    <w:rsid w:val="007304C5"/>
    <w:rsid w:val="00731B27"/>
    <w:rsid w:val="0073465A"/>
    <w:rsid w:val="00743CE8"/>
    <w:rsid w:val="0074755A"/>
    <w:rsid w:val="00760571"/>
    <w:rsid w:val="00761D86"/>
    <w:rsid w:val="00785C0D"/>
    <w:rsid w:val="00785F83"/>
    <w:rsid w:val="00790B5C"/>
    <w:rsid w:val="007911EC"/>
    <w:rsid w:val="00794BDE"/>
    <w:rsid w:val="007A0D1A"/>
    <w:rsid w:val="007B7BC6"/>
    <w:rsid w:val="007B7FC1"/>
    <w:rsid w:val="007C50D4"/>
    <w:rsid w:val="007D1708"/>
    <w:rsid w:val="007D1D9D"/>
    <w:rsid w:val="007D232B"/>
    <w:rsid w:val="007D2C8C"/>
    <w:rsid w:val="007D35A1"/>
    <w:rsid w:val="007D55F5"/>
    <w:rsid w:val="007E55B7"/>
    <w:rsid w:val="007F21A9"/>
    <w:rsid w:val="007F74E0"/>
    <w:rsid w:val="0080070A"/>
    <w:rsid w:val="00806C80"/>
    <w:rsid w:val="0081181B"/>
    <w:rsid w:val="00823B98"/>
    <w:rsid w:val="00827BF7"/>
    <w:rsid w:val="00832F5D"/>
    <w:rsid w:val="00836771"/>
    <w:rsid w:val="008403BD"/>
    <w:rsid w:val="00844D61"/>
    <w:rsid w:val="008453BB"/>
    <w:rsid w:val="00854FBE"/>
    <w:rsid w:val="0085657C"/>
    <w:rsid w:val="008602AC"/>
    <w:rsid w:val="00867B2D"/>
    <w:rsid w:val="008705FE"/>
    <w:rsid w:val="00873AF6"/>
    <w:rsid w:val="00892BCD"/>
    <w:rsid w:val="0089423C"/>
    <w:rsid w:val="00894B7C"/>
    <w:rsid w:val="008A2408"/>
    <w:rsid w:val="008A6A01"/>
    <w:rsid w:val="008B010F"/>
    <w:rsid w:val="008C3EBD"/>
    <w:rsid w:val="008C5765"/>
    <w:rsid w:val="008D0A29"/>
    <w:rsid w:val="008D29DE"/>
    <w:rsid w:val="008D5284"/>
    <w:rsid w:val="008E3175"/>
    <w:rsid w:val="008E440A"/>
    <w:rsid w:val="008F454F"/>
    <w:rsid w:val="0090072C"/>
    <w:rsid w:val="00903519"/>
    <w:rsid w:val="00903BF6"/>
    <w:rsid w:val="00911B33"/>
    <w:rsid w:val="00925F8B"/>
    <w:rsid w:val="00926781"/>
    <w:rsid w:val="00930087"/>
    <w:rsid w:val="009332BE"/>
    <w:rsid w:val="0094798A"/>
    <w:rsid w:val="009504F4"/>
    <w:rsid w:val="00953A1A"/>
    <w:rsid w:val="00953ACE"/>
    <w:rsid w:val="009617CD"/>
    <w:rsid w:val="009640C3"/>
    <w:rsid w:val="00964217"/>
    <w:rsid w:val="009722FE"/>
    <w:rsid w:val="0097673E"/>
    <w:rsid w:val="009818D5"/>
    <w:rsid w:val="00984CE8"/>
    <w:rsid w:val="009950A5"/>
    <w:rsid w:val="0099532C"/>
    <w:rsid w:val="009A090C"/>
    <w:rsid w:val="009A5C27"/>
    <w:rsid w:val="009C07F2"/>
    <w:rsid w:val="009C362C"/>
    <w:rsid w:val="009C3ED4"/>
    <w:rsid w:val="009C61C8"/>
    <w:rsid w:val="009C75C1"/>
    <w:rsid w:val="009D13A3"/>
    <w:rsid w:val="009D66B4"/>
    <w:rsid w:val="009E086E"/>
    <w:rsid w:val="009E23B6"/>
    <w:rsid w:val="009E26E5"/>
    <w:rsid w:val="009E39BD"/>
    <w:rsid w:val="009E7A01"/>
    <w:rsid w:val="009F14FE"/>
    <w:rsid w:val="009F74EF"/>
    <w:rsid w:val="00A17A8E"/>
    <w:rsid w:val="00A24B99"/>
    <w:rsid w:val="00A25ACF"/>
    <w:rsid w:val="00A3189B"/>
    <w:rsid w:val="00A33398"/>
    <w:rsid w:val="00A34415"/>
    <w:rsid w:val="00A379BB"/>
    <w:rsid w:val="00A50D96"/>
    <w:rsid w:val="00A53286"/>
    <w:rsid w:val="00A557D1"/>
    <w:rsid w:val="00A56B54"/>
    <w:rsid w:val="00A57C8C"/>
    <w:rsid w:val="00A6385B"/>
    <w:rsid w:val="00A732BE"/>
    <w:rsid w:val="00A75C83"/>
    <w:rsid w:val="00A80011"/>
    <w:rsid w:val="00A80E6C"/>
    <w:rsid w:val="00A8296E"/>
    <w:rsid w:val="00A8774F"/>
    <w:rsid w:val="00A9433B"/>
    <w:rsid w:val="00A94CF2"/>
    <w:rsid w:val="00AA3A8D"/>
    <w:rsid w:val="00AA483E"/>
    <w:rsid w:val="00AA4D6B"/>
    <w:rsid w:val="00AB7006"/>
    <w:rsid w:val="00AB7508"/>
    <w:rsid w:val="00AC629F"/>
    <w:rsid w:val="00AD1593"/>
    <w:rsid w:val="00AD7B50"/>
    <w:rsid w:val="00AE1C40"/>
    <w:rsid w:val="00AE6D59"/>
    <w:rsid w:val="00AF4C83"/>
    <w:rsid w:val="00AF514A"/>
    <w:rsid w:val="00B014A4"/>
    <w:rsid w:val="00B01B71"/>
    <w:rsid w:val="00B01CAB"/>
    <w:rsid w:val="00B03A12"/>
    <w:rsid w:val="00B0710B"/>
    <w:rsid w:val="00B10E99"/>
    <w:rsid w:val="00B126C4"/>
    <w:rsid w:val="00B16BF3"/>
    <w:rsid w:val="00B4289E"/>
    <w:rsid w:val="00B433BF"/>
    <w:rsid w:val="00B436DB"/>
    <w:rsid w:val="00B44AD0"/>
    <w:rsid w:val="00B452E7"/>
    <w:rsid w:val="00B5009A"/>
    <w:rsid w:val="00B519C1"/>
    <w:rsid w:val="00B562C5"/>
    <w:rsid w:val="00B6629C"/>
    <w:rsid w:val="00B73355"/>
    <w:rsid w:val="00B73A85"/>
    <w:rsid w:val="00B93A59"/>
    <w:rsid w:val="00B944F2"/>
    <w:rsid w:val="00B97945"/>
    <w:rsid w:val="00BA1E32"/>
    <w:rsid w:val="00BA3FBA"/>
    <w:rsid w:val="00BA7BEC"/>
    <w:rsid w:val="00BB0D1E"/>
    <w:rsid w:val="00BB63D9"/>
    <w:rsid w:val="00BC7E05"/>
    <w:rsid w:val="00BD1F6E"/>
    <w:rsid w:val="00BD2406"/>
    <w:rsid w:val="00BD2CE4"/>
    <w:rsid w:val="00BD3CE9"/>
    <w:rsid w:val="00BD782D"/>
    <w:rsid w:val="00BE7521"/>
    <w:rsid w:val="00BF0A01"/>
    <w:rsid w:val="00BF369B"/>
    <w:rsid w:val="00BF6B20"/>
    <w:rsid w:val="00C01D97"/>
    <w:rsid w:val="00C05158"/>
    <w:rsid w:val="00C11D45"/>
    <w:rsid w:val="00C177B7"/>
    <w:rsid w:val="00C17C17"/>
    <w:rsid w:val="00C2250D"/>
    <w:rsid w:val="00C37C2B"/>
    <w:rsid w:val="00C40148"/>
    <w:rsid w:val="00C43BB6"/>
    <w:rsid w:val="00C464E7"/>
    <w:rsid w:val="00C546CB"/>
    <w:rsid w:val="00C569D3"/>
    <w:rsid w:val="00C57A1A"/>
    <w:rsid w:val="00C6077D"/>
    <w:rsid w:val="00C6183A"/>
    <w:rsid w:val="00C75A27"/>
    <w:rsid w:val="00C8554A"/>
    <w:rsid w:val="00C90879"/>
    <w:rsid w:val="00CA3091"/>
    <w:rsid w:val="00CA6577"/>
    <w:rsid w:val="00CA657E"/>
    <w:rsid w:val="00CA6758"/>
    <w:rsid w:val="00CA6E92"/>
    <w:rsid w:val="00CB1DF7"/>
    <w:rsid w:val="00CB4C06"/>
    <w:rsid w:val="00CB70EF"/>
    <w:rsid w:val="00CC08E6"/>
    <w:rsid w:val="00CC1D28"/>
    <w:rsid w:val="00CC3657"/>
    <w:rsid w:val="00CC6155"/>
    <w:rsid w:val="00CC6A2A"/>
    <w:rsid w:val="00CD6988"/>
    <w:rsid w:val="00CD75C3"/>
    <w:rsid w:val="00CE571A"/>
    <w:rsid w:val="00CF64C4"/>
    <w:rsid w:val="00D12FD2"/>
    <w:rsid w:val="00D27C8D"/>
    <w:rsid w:val="00D53A0A"/>
    <w:rsid w:val="00D559C7"/>
    <w:rsid w:val="00D6356C"/>
    <w:rsid w:val="00D63692"/>
    <w:rsid w:val="00D64FEF"/>
    <w:rsid w:val="00D7036D"/>
    <w:rsid w:val="00D70548"/>
    <w:rsid w:val="00D72647"/>
    <w:rsid w:val="00D742F0"/>
    <w:rsid w:val="00D754A8"/>
    <w:rsid w:val="00D81245"/>
    <w:rsid w:val="00D83531"/>
    <w:rsid w:val="00D86C8D"/>
    <w:rsid w:val="00D94A8B"/>
    <w:rsid w:val="00D94E8C"/>
    <w:rsid w:val="00DA040B"/>
    <w:rsid w:val="00DA354A"/>
    <w:rsid w:val="00DA3CDE"/>
    <w:rsid w:val="00DA719A"/>
    <w:rsid w:val="00DB0AFC"/>
    <w:rsid w:val="00DB5DD6"/>
    <w:rsid w:val="00DB6E61"/>
    <w:rsid w:val="00DC11D5"/>
    <w:rsid w:val="00DC1277"/>
    <w:rsid w:val="00DC2960"/>
    <w:rsid w:val="00DD2B28"/>
    <w:rsid w:val="00DD3A74"/>
    <w:rsid w:val="00DD4FE0"/>
    <w:rsid w:val="00DE4E7C"/>
    <w:rsid w:val="00DE7689"/>
    <w:rsid w:val="00DE77EE"/>
    <w:rsid w:val="00DF1F40"/>
    <w:rsid w:val="00DF5A42"/>
    <w:rsid w:val="00DF6967"/>
    <w:rsid w:val="00DF7EA9"/>
    <w:rsid w:val="00E11DD0"/>
    <w:rsid w:val="00E14C83"/>
    <w:rsid w:val="00E22EC4"/>
    <w:rsid w:val="00E363B6"/>
    <w:rsid w:val="00E37F2B"/>
    <w:rsid w:val="00E427F1"/>
    <w:rsid w:val="00E44225"/>
    <w:rsid w:val="00E61BCA"/>
    <w:rsid w:val="00E825BA"/>
    <w:rsid w:val="00E956C7"/>
    <w:rsid w:val="00E97C89"/>
    <w:rsid w:val="00EA22F8"/>
    <w:rsid w:val="00EB4DB5"/>
    <w:rsid w:val="00EC2C0E"/>
    <w:rsid w:val="00EC6964"/>
    <w:rsid w:val="00EC7056"/>
    <w:rsid w:val="00EE19AF"/>
    <w:rsid w:val="00EE5045"/>
    <w:rsid w:val="00EF0095"/>
    <w:rsid w:val="00EF29D4"/>
    <w:rsid w:val="00EF4911"/>
    <w:rsid w:val="00EF6C99"/>
    <w:rsid w:val="00F01B4B"/>
    <w:rsid w:val="00F16EED"/>
    <w:rsid w:val="00F24B65"/>
    <w:rsid w:val="00F453D8"/>
    <w:rsid w:val="00F46C2F"/>
    <w:rsid w:val="00F57FC6"/>
    <w:rsid w:val="00F67BCD"/>
    <w:rsid w:val="00F7049D"/>
    <w:rsid w:val="00F72B39"/>
    <w:rsid w:val="00F7384B"/>
    <w:rsid w:val="00F743F1"/>
    <w:rsid w:val="00F80079"/>
    <w:rsid w:val="00FA34B0"/>
    <w:rsid w:val="00FB296B"/>
    <w:rsid w:val="00FB3CF1"/>
    <w:rsid w:val="00FC3F10"/>
    <w:rsid w:val="00FC453A"/>
    <w:rsid w:val="00FC7816"/>
    <w:rsid w:val="00FD106A"/>
    <w:rsid w:val="00FD44CA"/>
    <w:rsid w:val="00FD5A2E"/>
    <w:rsid w:val="00FE2030"/>
    <w:rsid w:val="00FE22DF"/>
    <w:rsid w:val="00FE4C27"/>
    <w:rsid w:val="00FE5A1B"/>
    <w:rsid w:val="00FE79EC"/>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0A149"/>
  <w15:docId w15:val="{FCD5A366-7335-4B69-B740-91471C8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iPriority w:val="99"/>
    <w:unhideWhenUsed/>
    <w:rsid w:val="005657AD"/>
    <w:pPr>
      <w:tabs>
        <w:tab w:val="center" w:pos="4252"/>
        <w:tab w:val="right" w:pos="8504"/>
      </w:tabs>
      <w:snapToGrid w:val="0"/>
    </w:pPr>
  </w:style>
  <w:style w:type="character" w:customStyle="1" w:styleId="a7">
    <w:name w:val="ヘッダー (文字)"/>
    <w:basedOn w:val="a0"/>
    <w:link w:val="a6"/>
    <w:uiPriority w:val="99"/>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 w:type="character" w:styleId="af1">
    <w:name w:val="Hyperlink"/>
    <w:basedOn w:val="a0"/>
    <w:uiPriority w:val="99"/>
    <w:unhideWhenUsed/>
    <w:rsid w:val="00D7036D"/>
    <w:rPr>
      <w:color w:val="0000FF" w:themeColor="hyperlink"/>
      <w:u w:val="single"/>
    </w:rPr>
  </w:style>
  <w:style w:type="character" w:styleId="af2">
    <w:name w:val="FollowedHyperlink"/>
    <w:basedOn w:val="a0"/>
    <w:uiPriority w:val="99"/>
    <w:semiHidden/>
    <w:unhideWhenUsed/>
    <w:rsid w:val="000C10E8"/>
    <w:rPr>
      <w:color w:val="800080" w:themeColor="followedHyperlink"/>
      <w:u w:val="single"/>
    </w:rPr>
  </w:style>
  <w:style w:type="paragraph" w:styleId="Web">
    <w:name w:val="Normal (Web)"/>
    <w:basedOn w:val="a"/>
    <w:uiPriority w:val="99"/>
    <w:unhideWhenUsed/>
    <w:rsid w:val="009C362C"/>
    <w:pPr>
      <w:ind w:left="100" w:hangingChars="100" w:hanging="100"/>
    </w:pPr>
    <w:rPr>
      <w:rFonts w:ascii="Times New Roman" w:eastAsia="ＭＳ 明朝" w:hAnsi="Times New Roman" w:cs="Times New Roman"/>
      <w:sz w:val="24"/>
      <w:szCs w:val="24"/>
    </w:rPr>
  </w:style>
  <w:style w:type="character" w:customStyle="1" w:styleId="mord">
    <w:name w:val="mord"/>
    <w:basedOn w:val="a0"/>
    <w:rsid w:val="009C362C"/>
  </w:style>
  <w:style w:type="character" w:customStyle="1" w:styleId="mopen">
    <w:name w:val="mopen"/>
    <w:basedOn w:val="a0"/>
    <w:rsid w:val="009C362C"/>
  </w:style>
  <w:style w:type="character" w:customStyle="1" w:styleId="mclose">
    <w:name w:val="mclose"/>
    <w:basedOn w:val="a0"/>
    <w:rsid w:val="009C362C"/>
  </w:style>
  <w:style w:type="character" w:customStyle="1" w:styleId="mrel">
    <w:name w:val="mrel"/>
    <w:basedOn w:val="a0"/>
    <w:rsid w:val="009C362C"/>
  </w:style>
  <w:style w:type="character" w:customStyle="1" w:styleId="vlist-s">
    <w:name w:val="vlist-s"/>
    <w:basedOn w:val="a0"/>
    <w:rsid w:val="009C362C"/>
  </w:style>
  <w:style w:type="character" w:customStyle="1" w:styleId="mop">
    <w:name w:val="mop"/>
    <w:basedOn w:val="a0"/>
    <w:rsid w:val="009C362C"/>
  </w:style>
  <w:style w:type="character" w:customStyle="1" w:styleId="delimsizing">
    <w:name w:val="delimsizing"/>
    <w:basedOn w:val="a0"/>
    <w:rsid w:val="009C362C"/>
  </w:style>
  <w:style w:type="character" w:customStyle="1" w:styleId="mbin">
    <w:name w:val="mbin"/>
    <w:basedOn w:val="a0"/>
    <w:rsid w:val="009C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a.wikipedia.org/wiki/%E7%B5%B1%E8%A8%88%E7%9A%84%E3%81%B0%E3%82%89%E3%81%A4%E3%81%8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wikipedia.org/wiki/%E7%AE%97%E8%A1%93%E5%B9%B3%E5%9D%87"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ja.wikipedia.org/wiki/%E7%B5%B1%E8%A8%88%E7%9A%84%E3%81%B0%E3%82%89%E3%81%A4%E3%81%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7%A2%BA%E7%8E%87%E5%A4%89%E6%95%B0" TargetMode="External"/><Relationship Id="rId5" Type="http://schemas.openxmlformats.org/officeDocument/2006/relationships/webSettings" Target="webSettings.xml"/><Relationship Id="rId15" Type="http://schemas.openxmlformats.org/officeDocument/2006/relationships/hyperlink" Target="https://ja.wikipedia.org/wiki/%E7%AE%97%E8%A1%93%E5%B9%B3%E5%9D%8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a.wikipedia.org/wiki/%E3%83%87%E3%83%BC%E3%82%B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6AF4-8FFA-42BF-9187-CFB3D306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1271</Words>
  <Characters>7248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takaki hideo</dc:creator>
  <cp:lastModifiedBy>笠原 一浩</cp:lastModifiedBy>
  <cp:revision>7</cp:revision>
  <cp:lastPrinted>2021-11-15T23:52:00Z</cp:lastPrinted>
  <dcterms:created xsi:type="dcterms:W3CDTF">2023-10-03T12:11:00Z</dcterms:created>
  <dcterms:modified xsi:type="dcterms:W3CDTF">2023-10-14T02:20:00Z</dcterms:modified>
</cp:coreProperties>
</file>